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5C8" w:rsidRPr="00901091" w:rsidRDefault="001E281D" w:rsidP="007015C8">
      <w:pPr>
        <w:pStyle w:val="a9"/>
        <w:spacing w:before="3240" w:after="120"/>
        <w:ind w:left="2410" w:right="1701"/>
        <w:jc w:val="center"/>
        <w:rPr>
          <w:rFonts w:ascii="Arial" w:hAnsi="Arial" w:cs="Arial"/>
          <w:noProof/>
          <w:color w:val="3B3B3B"/>
          <w:sz w:val="44"/>
          <w:szCs w:val="44"/>
        </w:rPr>
      </w:pPr>
      <w:r>
        <w:rPr>
          <w:rFonts w:ascii="Arial" w:hAnsi="Arial" w:cs="Arial"/>
          <w:noProof/>
          <w:color w:val="3B3B3B"/>
          <w:sz w:val="44"/>
          <w:szCs w:val="44"/>
        </w:rPr>
        <w:t>КОЭФФИЦИЕНТ ДЖИНИ ПРИМЕНИТЕЛЬНО К ОТРАСЛЯМ РОССИЙСКОЙ ЭКОНОМИКИ</w:t>
      </w:r>
    </w:p>
    <w:p w:rsidR="007015C8" w:rsidRDefault="007015C8" w:rsidP="007015C8">
      <w:pPr>
        <w:spacing w:before="1080" w:after="120" w:line="240" w:lineRule="auto"/>
        <w:ind w:left="2410" w:right="1701"/>
        <w:jc w:val="center"/>
        <w:rPr>
          <w:rFonts w:ascii="Arial" w:hAnsi="Arial" w:cs="Arial"/>
          <w:noProof/>
          <w:color w:val="3B3B3B"/>
          <w:sz w:val="28"/>
          <w:szCs w:val="28"/>
        </w:rPr>
      </w:pPr>
      <w:r>
        <w:rPr>
          <w:rFonts w:ascii="Arial" w:hAnsi="Arial" w:cs="Arial"/>
          <w:noProof/>
          <w:color w:val="3B3B3B"/>
          <w:sz w:val="28"/>
          <w:szCs w:val="28"/>
        </w:rPr>
        <w:t>Аналитическая служба</w:t>
      </w:r>
      <w:r w:rsidR="001E281D">
        <w:rPr>
          <w:rFonts w:ascii="Arial" w:hAnsi="Arial" w:cs="Arial"/>
          <w:noProof/>
          <w:color w:val="3B3B3B"/>
          <w:sz w:val="28"/>
          <w:szCs w:val="28"/>
        </w:rPr>
        <w:t>, ФинЭкспертиза</w:t>
      </w:r>
    </w:p>
    <w:p w:rsidR="007015C8" w:rsidRPr="00FD6F74" w:rsidRDefault="00F5188C" w:rsidP="007015C8">
      <w:pPr>
        <w:spacing w:before="1080" w:after="120" w:line="240" w:lineRule="auto"/>
        <w:ind w:left="2410" w:right="1701"/>
        <w:jc w:val="center"/>
        <w:rPr>
          <w:color w:val="3B3B3B"/>
        </w:rPr>
      </w:pPr>
      <w:r>
        <w:rPr>
          <w:rFonts w:ascii="Arial" w:hAnsi="Arial" w:cs="Arial"/>
          <w:noProof/>
          <w:color w:val="3B3B3B"/>
          <w:sz w:val="28"/>
          <w:szCs w:val="28"/>
        </w:rPr>
        <w:t>10</w:t>
      </w:r>
      <w:r w:rsidR="005B44D7">
        <w:rPr>
          <w:rFonts w:ascii="Arial" w:hAnsi="Arial" w:cs="Arial"/>
          <w:noProof/>
          <w:color w:val="3B3B3B"/>
          <w:sz w:val="28"/>
          <w:szCs w:val="28"/>
        </w:rPr>
        <w:t xml:space="preserve"> декабря 2015 г.</w:t>
      </w:r>
      <w:r w:rsidR="007015C8">
        <w:rPr>
          <w:rFonts w:ascii="Arial" w:hAnsi="Arial" w:cs="Arial"/>
          <w:noProof/>
          <w:color w:val="3B3B3B"/>
          <w:sz w:val="28"/>
          <w:szCs w:val="28"/>
        </w:rPr>
        <w:t xml:space="preserve"> </w:t>
      </w:r>
    </w:p>
    <w:p w:rsidR="007015C8" w:rsidRPr="00FD6F74" w:rsidRDefault="007015C8" w:rsidP="007015C8">
      <w:pPr>
        <w:pStyle w:val="ab"/>
        <w:spacing w:before="360" w:after="240"/>
        <w:ind w:left="851" w:right="283"/>
      </w:pPr>
      <w:r w:rsidRPr="00FD6F74">
        <w:br w:type="page"/>
      </w:r>
      <w:r w:rsidRPr="00877FAC">
        <w:rPr>
          <w:rFonts w:ascii="Arial" w:hAnsi="Arial" w:cs="Arial"/>
          <w:b/>
          <w:color w:val="3B3B3B"/>
          <w:sz w:val="22"/>
          <w:szCs w:val="22"/>
        </w:rPr>
        <w:lastRenderedPageBreak/>
        <w:t>ЦЕЛЬ ИССЛЕДОВАНИЯ</w:t>
      </w:r>
    </w:p>
    <w:p w:rsidR="007015C8" w:rsidRDefault="007015C8" w:rsidP="007015C8">
      <w:pPr>
        <w:pStyle w:val="ab"/>
        <w:ind w:left="851" w:right="283"/>
        <w:rPr>
          <w:rFonts w:ascii="Arial" w:hAnsi="Arial" w:cs="Arial"/>
          <w:color w:val="3B3B3B"/>
          <w:sz w:val="20"/>
        </w:rPr>
      </w:pPr>
      <w:r>
        <w:rPr>
          <w:rFonts w:ascii="Arial" w:hAnsi="Arial" w:cs="Arial"/>
          <w:color w:val="3B3B3B"/>
          <w:sz w:val="20"/>
        </w:rPr>
        <w:t>Оценить степень</w:t>
      </w:r>
      <w:r w:rsidRPr="00466AD0">
        <w:rPr>
          <w:rFonts w:ascii="Arial" w:hAnsi="Arial" w:cs="Arial"/>
          <w:color w:val="3B3B3B"/>
          <w:sz w:val="20"/>
        </w:rPr>
        <w:t xml:space="preserve"> </w:t>
      </w:r>
      <w:r>
        <w:rPr>
          <w:rFonts w:ascii="Arial" w:hAnsi="Arial" w:cs="Arial"/>
          <w:color w:val="3B3B3B"/>
          <w:sz w:val="20"/>
        </w:rPr>
        <w:t>дифференциации заработных плат среди работников каждой из отраслей экономики России, а также влияние кризиса на перераспределение доходов внутри отрасли.</w:t>
      </w:r>
    </w:p>
    <w:p w:rsidR="007015C8" w:rsidRDefault="007015C8" w:rsidP="007015C8">
      <w:pPr>
        <w:pStyle w:val="ab"/>
        <w:spacing w:before="360" w:after="240"/>
        <w:ind w:left="851" w:right="283"/>
        <w:rPr>
          <w:rFonts w:ascii="Arial" w:hAnsi="Arial" w:cs="Arial"/>
          <w:b/>
          <w:color w:val="3B3B3B"/>
          <w:sz w:val="22"/>
          <w:szCs w:val="22"/>
        </w:rPr>
      </w:pPr>
      <w:r>
        <w:rPr>
          <w:rFonts w:ascii="Arial" w:hAnsi="Arial" w:cs="Arial"/>
          <w:b/>
          <w:color w:val="3B3B3B"/>
          <w:sz w:val="22"/>
          <w:szCs w:val="22"/>
        </w:rPr>
        <w:t>ИСПОЛЬЗУЕМЫЕ МАТЕРИАЛЫ</w:t>
      </w:r>
    </w:p>
    <w:p w:rsidR="007015C8" w:rsidRDefault="007015C8" w:rsidP="007015C8">
      <w:pPr>
        <w:pStyle w:val="ab"/>
        <w:ind w:left="851" w:right="283"/>
        <w:rPr>
          <w:rFonts w:ascii="Arial" w:hAnsi="Arial" w:cs="Arial"/>
          <w:color w:val="3B3B3B"/>
          <w:sz w:val="20"/>
        </w:rPr>
      </w:pPr>
      <w:r w:rsidRPr="00D43F81">
        <w:rPr>
          <w:rFonts w:ascii="Arial" w:hAnsi="Arial" w:cs="Arial"/>
          <w:color w:val="3B3B3B"/>
          <w:sz w:val="20"/>
        </w:rPr>
        <w:t>Данные Росстата</w:t>
      </w:r>
    </w:p>
    <w:p w:rsidR="007015C8" w:rsidRPr="00FD6F74" w:rsidRDefault="00CB4F03" w:rsidP="007015C8">
      <w:pPr>
        <w:pStyle w:val="ab"/>
        <w:spacing w:before="360" w:after="240"/>
        <w:ind w:left="851" w:right="283"/>
        <w:rPr>
          <w:rFonts w:ascii="Arial" w:hAnsi="Arial" w:cs="Arial"/>
          <w:b/>
          <w:color w:val="3B3B3B"/>
          <w:sz w:val="22"/>
          <w:szCs w:val="22"/>
        </w:rPr>
      </w:pPr>
      <w:r>
        <w:rPr>
          <w:rFonts w:ascii="Arial" w:hAnsi="Arial" w:cs="Arial"/>
          <w:b/>
          <w:color w:val="3B3B3B"/>
          <w:sz w:val="22"/>
          <w:szCs w:val="22"/>
        </w:rPr>
        <w:t>КРАТКИЕ ПОЯСНЕНИЯ</w:t>
      </w:r>
    </w:p>
    <w:p w:rsidR="007015C8" w:rsidRDefault="007015C8" w:rsidP="007015C8">
      <w:pPr>
        <w:pStyle w:val="ab"/>
        <w:ind w:left="851" w:right="283"/>
        <w:rPr>
          <w:rFonts w:ascii="Arial" w:hAnsi="Arial" w:cs="Arial"/>
          <w:color w:val="3B3B3B"/>
          <w:sz w:val="20"/>
        </w:rPr>
      </w:pPr>
      <w:r>
        <w:rPr>
          <w:rFonts w:ascii="Arial" w:hAnsi="Arial" w:cs="Arial"/>
          <w:color w:val="3B3B3B"/>
          <w:sz w:val="20"/>
        </w:rPr>
        <w:t>Равномерность распределения доходов среди всех жителей страны – основа социальной стабильности.</w:t>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Коэффициент Джини – </w:t>
      </w:r>
      <w:r w:rsidRPr="008753B8">
        <w:rPr>
          <w:rFonts w:ascii="Arial" w:hAnsi="Arial" w:cs="Arial"/>
          <w:color w:val="3B3B3B"/>
          <w:sz w:val="20"/>
        </w:rPr>
        <w:t xml:space="preserve">статистический показатель степени расслоения общества по </w:t>
      </w:r>
      <w:r>
        <w:rPr>
          <w:rFonts w:ascii="Arial" w:hAnsi="Arial" w:cs="Arial"/>
          <w:color w:val="3B3B3B"/>
          <w:sz w:val="20"/>
        </w:rPr>
        <w:t>определенному</w:t>
      </w:r>
      <w:r w:rsidRPr="008753B8">
        <w:rPr>
          <w:rFonts w:ascii="Arial" w:hAnsi="Arial" w:cs="Arial"/>
          <w:color w:val="3B3B3B"/>
          <w:sz w:val="20"/>
        </w:rPr>
        <w:t xml:space="preserve"> признаку.</w:t>
      </w:r>
      <w:r>
        <w:rPr>
          <w:rFonts w:ascii="Arial" w:hAnsi="Arial" w:cs="Arial"/>
          <w:color w:val="3B3B3B"/>
          <w:sz w:val="20"/>
        </w:rPr>
        <w:t xml:space="preserve"> Этот показатель часто используется для определения неравномерности распределения доходов среди населения стран мира.</w:t>
      </w:r>
    </w:p>
    <w:p w:rsidR="007015C8" w:rsidRDefault="00473705" w:rsidP="00473705">
      <w:pPr>
        <w:pStyle w:val="ab"/>
        <w:ind w:left="851" w:right="283"/>
        <w:rPr>
          <w:rFonts w:ascii="Arial" w:hAnsi="Arial" w:cs="Arial"/>
          <w:color w:val="3B3B3B"/>
          <w:sz w:val="20"/>
        </w:rPr>
      </w:pPr>
      <w:r>
        <w:rPr>
          <w:rFonts w:ascii="Arial" w:hAnsi="Arial" w:cs="Arial"/>
          <w:color w:val="3B3B3B"/>
          <w:sz w:val="20"/>
        </w:rPr>
        <w:t xml:space="preserve">Используя методику расчета коэффициента </w:t>
      </w:r>
      <w:proofErr w:type="spellStart"/>
      <w:r>
        <w:rPr>
          <w:rFonts w:ascii="Arial" w:hAnsi="Arial" w:cs="Arial"/>
          <w:color w:val="3B3B3B"/>
          <w:sz w:val="20"/>
        </w:rPr>
        <w:t>Джини</w:t>
      </w:r>
      <w:proofErr w:type="spellEnd"/>
      <w:r>
        <w:rPr>
          <w:rFonts w:ascii="Arial" w:hAnsi="Arial" w:cs="Arial"/>
          <w:color w:val="3B3B3B"/>
          <w:sz w:val="20"/>
        </w:rPr>
        <w:t xml:space="preserve"> (в тексте исследования она подробно приведена), </w:t>
      </w:r>
      <w:r w:rsidR="007015C8">
        <w:rPr>
          <w:rFonts w:ascii="Arial" w:hAnsi="Arial" w:cs="Arial"/>
          <w:color w:val="3B3B3B"/>
          <w:sz w:val="20"/>
        </w:rPr>
        <w:t>мы</w:t>
      </w:r>
      <w:r>
        <w:rPr>
          <w:rFonts w:ascii="Arial" w:hAnsi="Arial" w:cs="Arial"/>
          <w:color w:val="3B3B3B"/>
          <w:sz w:val="20"/>
        </w:rPr>
        <w:t xml:space="preserve"> </w:t>
      </w:r>
      <w:r w:rsidR="007015C8">
        <w:rPr>
          <w:rFonts w:ascii="Arial" w:hAnsi="Arial" w:cs="Arial"/>
          <w:color w:val="3B3B3B"/>
          <w:sz w:val="20"/>
        </w:rPr>
        <w:t>рассм</w:t>
      </w:r>
      <w:r>
        <w:rPr>
          <w:rFonts w:ascii="Arial" w:hAnsi="Arial" w:cs="Arial"/>
          <w:color w:val="3B3B3B"/>
          <w:sz w:val="20"/>
        </w:rPr>
        <w:t>отре</w:t>
      </w:r>
      <w:r w:rsidR="00D574D9">
        <w:rPr>
          <w:rFonts w:ascii="Arial" w:hAnsi="Arial" w:cs="Arial"/>
          <w:color w:val="3B3B3B"/>
          <w:sz w:val="20"/>
        </w:rPr>
        <w:t>ли</w:t>
      </w:r>
      <w:r w:rsidR="007015C8">
        <w:rPr>
          <w:rFonts w:ascii="Arial" w:hAnsi="Arial" w:cs="Arial"/>
          <w:color w:val="3B3B3B"/>
          <w:sz w:val="20"/>
        </w:rPr>
        <w:t xml:space="preserve"> не всю экономику </w:t>
      </w:r>
      <w:r w:rsidR="00D574D9">
        <w:rPr>
          <w:rFonts w:ascii="Arial" w:hAnsi="Arial" w:cs="Arial"/>
          <w:color w:val="3B3B3B"/>
          <w:sz w:val="20"/>
        </w:rPr>
        <w:t xml:space="preserve">России, а </w:t>
      </w:r>
      <w:r>
        <w:rPr>
          <w:rFonts w:ascii="Arial" w:hAnsi="Arial" w:cs="Arial"/>
          <w:color w:val="3B3B3B"/>
          <w:sz w:val="20"/>
        </w:rPr>
        <w:t xml:space="preserve">ее </w:t>
      </w:r>
      <w:r w:rsidR="00D574D9">
        <w:rPr>
          <w:rFonts w:ascii="Arial" w:hAnsi="Arial" w:cs="Arial"/>
          <w:color w:val="3B3B3B"/>
          <w:sz w:val="20"/>
        </w:rPr>
        <w:t>отдельные отрасли.</w:t>
      </w:r>
    </w:p>
    <w:p w:rsidR="007015C8" w:rsidRDefault="007015C8" w:rsidP="007015C8">
      <w:pPr>
        <w:pStyle w:val="ab"/>
        <w:ind w:left="851" w:right="283"/>
        <w:rPr>
          <w:rFonts w:ascii="Arial" w:hAnsi="Arial" w:cs="Arial"/>
          <w:color w:val="3B3B3B"/>
          <w:sz w:val="20"/>
        </w:rPr>
      </w:pPr>
      <w:r>
        <w:rPr>
          <w:rFonts w:ascii="Arial" w:hAnsi="Arial" w:cs="Arial"/>
          <w:color w:val="3B3B3B"/>
          <w:sz w:val="20"/>
        </w:rPr>
        <w:br w:type="page"/>
      </w:r>
    </w:p>
    <w:p w:rsidR="007015C8" w:rsidRPr="00FA50C0" w:rsidRDefault="007015C8" w:rsidP="007015C8">
      <w:pPr>
        <w:pStyle w:val="ab"/>
        <w:ind w:left="851" w:right="283"/>
        <w:rPr>
          <w:rFonts w:ascii="Arial" w:hAnsi="Arial" w:cs="Arial"/>
          <w:b/>
          <w:color w:val="3B3B3B"/>
          <w:sz w:val="22"/>
          <w:szCs w:val="22"/>
        </w:rPr>
      </w:pPr>
      <w:r>
        <w:rPr>
          <w:rFonts w:ascii="Arial" w:hAnsi="Arial" w:cs="Arial"/>
          <w:b/>
          <w:color w:val="3B3B3B"/>
          <w:sz w:val="22"/>
          <w:szCs w:val="22"/>
        </w:rPr>
        <w:lastRenderedPageBreak/>
        <w:t>Расчет коэффициента Джини</w:t>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Несколько слов о том, как рассчитывается </w:t>
      </w:r>
      <w:r w:rsidR="008364AE">
        <w:rPr>
          <w:rFonts w:ascii="Arial" w:hAnsi="Arial" w:cs="Arial"/>
          <w:color w:val="3B3B3B"/>
          <w:sz w:val="20"/>
        </w:rPr>
        <w:t xml:space="preserve">данный </w:t>
      </w:r>
      <w:r>
        <w:rPr>
          <w:rFonts w:ascii="Arial" w:hAnsi="Arial" w:cs="Arial"/>
          <w:color w:val="3B3B3B"/>
          <w:sz w:val="20"/>
        </w:rPr>
        <w:t xml:space="preserve">показатель. </w:t>
      </w:r>
    </w:p>
    <w:p w:rsidR="00003AF6" w:rsidRDefault="007015C8" w:rsidP="007015C8">
      <w:pPr>
        <w:pStyle w:val="ab"/>
        <w:ind w:left="851" w:right="283"/>
        <w:rPr>
          <w:rFonts w:ascii="Arial" w:hAnsi="Arial" w:cs="Arial"/>
          <w:color w:val="3B3B3B"/>
          <w:sz w:val="20"/>
        </w:rPr>
      </w:pPr>
      <w:r>
        <w:rPr>
          <w:rFonts w:ascii="Arial" w:hAnsi="Arial" w:cs="Arial"/>
          <w:color w:val="3B3B3B"/>
          <w:sz w:val="20"/>
        </w:rPr>
        <w:t>Значени</w:t>
      </w:r>
      <w:r w:rsidR="007D612C">
        <w:rPr>
          <w:rFonts w:ascii="Arial" w:hAnsi="Arial" w:cs="Arial"/>
          <w:color w:val="3B3B3B"/>
          <w:sz w:val="20"/>
        </w:rPr>
        <w:t>я</w:t>
      </w:r>
      <w:r>
        <w:rPr>
          <w:rFonts w:ascii="Arial" w:hAnsi="Arial" w:cs="Arial"/>
          <w:color w:val="3B3B3B"/>
          <w:sz w:val="20"/>
        </w:rPr>
        <w:t xml:space="preserve">, которые может принимать коэффициент, находятся в диапазоне от 0 до 1. Ноль означает полное равенство доходов среди всех жителей (в данном случае работников конкретной отрасли), единица – полное неравенство (нереальная ситуация, когда вся заработная плата отрасли сконцентрирована в руках одного человека). </w:t>
      </w:r>
    </w:p>
    <w:p w:rsidR="00003AF6" w:rsidRDefault="00003AF6" w:rsidP="00003AF6">
      <w:pPr>
        <w:pStyle w:val="ab"/>
        <w:ind w:left="851" w:right="283"/>
        <w:rPr>
          <w:rFonts w:ascii="Arial" w:hAnsi="Arial" w:cs="Arial"/>
          <w:color w:val="3B3B3B"/>
          <w:sz w:val="20"/>
        </w:rPr>
      </w:pPr>
      <w:r>
        <w:rPr>
          <w:rFonts w:ascii="Arial" w:hAnsi="Arial" w:cs="Arial"/>
          <w:color w:val="3B3B3B"/>
          <w:sz w:val="20"/>
        </w:rPr>
        <w:t xml:space="preserve">Если коэффициент представлен в процентах, то его называют индексом </w:t>
      </w:r>
      <w:proofErr w:type="spellStart"/>
      <w:r>
        <w:rPr>
          <w:rFonts w:ascii="Arial" w:hAnsi="Arial" w:cs="Arial"/>
          <w:color w:val="3B3B3B"/>
          <w:sz w:val="20"/>
        </w:rPr>
        <w:t>Джини</w:t>
      </w:r>
      <w:proofErr w:type="spellEnd"/>
      <w:r>
        <w:rPr>
          <w:rFonts w:ascii="Arial" w:hAnsi="Arial" w:cs="Arial"/>
          <w:color w:val="3B3B3B"/>
          <w:sz w:val="20"/>
        </w:rPr>
        <w:t>.</w:t>
      </w:r>
    </w:p>
    <w:p w:rsidR="008F028D" w:rsidRDefault="008F028D" w:rsidP="00003AF6">
      <w:pPr>
        <w:pStyle w:val="ab"/>
        <w:ind w:left="851" w:right="283"/>
        <w:rPr>
          <w:rFonts w:ascii="Arial" w:hAnsi="Arial" w:cs="Arial"/>
          <w:color w:val="3B3B3B"/>
          <w:sz w:val="20"/>
        </w:rPr>
      </w:pPr>
      <w:r>
        <w:rPr>
          <w:rFonts w:ascii="Arial" w:hAnsi="Arial" w:cs="Arial"/>
          <w:color w:val="3B3B3B"/>
          <w:sz w:val="20"/>
        </w:rPr>
        <w:t>Проиллюстрируем на примере.</w:t>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Допустим, что </w:t>
      </w:r>
      <w:r w:rsidR="008364AE">
        <w:rPr>
          <w:rFonts w:ascii="Arial" w:hAnsi="Arial" w:cs="Arial"/>
          <w:color w:val="3B3B3B"/>
          <w:sz w:val="20"/>
        </w:rPr>
        <w:t>все</w:t>
      </w:r>
      <w:r>
        <w:rPr>
          <w:rFonts w:ascii="Arial" w:hAnsi="Arial" w:cs="Arial"/>
          <w:color w:val="3B3B3B"/>
          <w:sz w:val="20"/>
        </w:rPr>
        <w:t xml:space="preserve"> жител</w:t>
      </w:r>
      <w:r w:rsidR="008364AE">
        <w:rPr>
          <w:rFonts w:ascii="Arial" w:hAnsi="Arial" w:cs="Arial"/>
          <w:color w:val="3B3B3B"/>
          <w:sz w:val="20"/>
        </w:rPr>
        <w:t>и</w:t>
      </w:r>
      <w:r>
        <w:rPr>
          <w:rFonts w:ascii="Arial" w:hAnsi="Arial" w:cs="Arial"/>
          <w:color w:val="3B3B3B"/>
          <w:sz w:val="20"/>
        </w:rPr>
        <w:t xml:space="preserve"> страны</w:t>
      </w:r>
      <w:r w:rsidR="008364AE">
        <w:rPr>
          <w:rFonts w:ascii="Arial" w:hAnsi="Arial" w:cs="Arial"/>
          <w:color w:val="3B3B3B"/>
          <w:sz w:val="20"/>
        </w:rPr>
        <w:t xml:space="preserve"> получаю</w:t>
      </w:r>
      <w:r>
        <w:rPr>
          <w:rFonts w:ascii="Arial" w:hAnsi="Arial" w:cs="Arial"/>
          <w:color w:val="3B3B3B"/>
          <w:sz w:val="20"/>
        </w:rPr>
        <w:t xml:space="preserve">т одинаковую </w:t>
      </w:r>
      <w:r w:rsidR="00003AF6">
        <w:rPr>
          <w:rFonts w:ascii="Arial" w:hAnsi="Arial" w:cs="Arial"/>
          <w:color w:val="3B3B3B"/>
          <w:sz w:val="20"/>
        </w:rPr>
        <w:t xml:space="preserve">зарплату, в этом случае график </w:t>
      </w:r>
      <w:r>
        <w:rPr>
          <w:rFonts w:ascii="Arial" w:hAnsi="Arial" w:cs="Arial"/>
          <w:color w:val="3B3B3B"/>
          <w:sz w:val="20"/>
        </w:rPr>
        <w:t>буд</w:t>
      </w:r>
      <w:r w:rsidR="0099537D">
        <w:rPr>
          <w:rFonts w:ascii="Arial" w:hAnsi="Arial" w:cs="Arial"/>
          <w:color w:val="3B3B3B"/>
          <w:sz w:val="20"/>
        </w:rPr>
        <w:t>ет выглядеть следующим образом:</w:t>
      </w:r>
    </w:p>
    <w:p w:rsidR="007015C8" w:rsidRPr="0099537D" w:rsidRDefault="007015C8" w:rsidP="007015C8">
      <w:pPr>
        <w:pStyle w:val="ab"/>
        <w:ind w:left="851" w:right="283"/>
        <w:rPr>
          <w:rFonts w:ascii="Arial" w:hAnsi="Arial" w:cs="Arial"/>
          <w:b/>
          <w:color w:val="3B3B3B"/>
          <w:sz w:val="16"/>
          <w:szCs w:val="16"/>
        </w:rPr>
      </w:pPr>
      <w:r w:rsidRPr="0099537D">
        <w:rPr>
          <w:rFonts w:ascii="Arial" w:hAnsi="Arial" w:cs="Arial"/>
          <w:b/>
          <w:color w:val="3B3B3B"/>
          <w:sz w:val="16"/>
          <w:szCs w:val="16"/>
        </w:rPr>
        <w:t>Диаграмма 1. Абсолютное равенство доходов</w:t>
      </w:r>
    </w:p>
    <w:p w:rsidR="007015C8" w:rsidRDefault="007015C8" w:rsidP="007015C8">
      <w:pPr>
        <w:pStyle w:val="ab"/>
        <w:ind w:left="851" w:right="283"/>
        <w:jc w:val="center"/>
        <w:rPr>
          <w:rFonts w:ascii="Arial" w:hAnsi="Arial" w:cs="Arial"/>
          <w:color w:val="3B3B3B"/>
          <w:sz w:val="20"/>
        </w:rPr>
      </w:pPr>
      <w:r>
        <w:rPr>
          <w:noProof/>
        </w:rPr>
        <w:drawing>
          <wp:inline distT="0" distB="0" distL="0" distR="0">
            <wp:extent cx="4191000" cy="3914775"/>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10% населения будут получать 10% совокупного дохода, 20% жителей, соответственно, 20% совокупного дохода и т.д. Это полностью равномерное распределение доходов. </w:t>
      </w:r>
    </w:p>
    <w:p w:rsidR="008435A5" w:rsidRDefault="007015C8" w:rsidP="007015C8">
      <w:pPr>
        <w:pStyle w:val="ab"/>
        <w:ind w:left="851" w:right="283"/>
        <w:rPr>
          <w:rFonts w:ascii="Arial" w:hAnsi="Arial" w:cs="Arial"/>
          <w:color w:val="3B3B3B"/>
          <w:sz w:val="20"/>
        </w:rPr>
      </w:pPr>
      <w:r>
        <w:rPr>
          <w:rFonts w:ascii="Arial" w:hAnsi="Arial" w:cs="Arial"/>
          <w:color w:val="3B3B3B"/>
          <w:sz w:val="20"/>
        </w:rPr>
        <w:t>В противоположном случае, если предположить, что зарплату получает один человек, а все остальные работают бесплатно, коэффициент Джини будет равен единице</w:t>
      </w:r>
      <w:r w:rsidR="002C6065">
        <w:rPr>
          <w:rFonts w:ascii="Arial" w:hAnsi="Arial" w:cs="Arial"/>
          <w:color w:val="3B3B3B"/>
          <w:sz w:val="20"/>
        </w:rPr>
        <w:t>,</w:t>
      </w:r>
      <w:r>
        <w:rPr>
          <w:rFonts w:ascii="Arial" w:hAnsi="Arial" w:cs="Arial"/>
          <w:color w:val="3B3B3B"/>
          <w:sz w:val="20"/>
        </w:rPr>
        <w:t xml:space="preserve"> и график концентрац</w:t>
      </w:r>
      <w:r w:rsidR="008435A5">
        <w:rPr>
          <w:rFonts w:ascii="Arial" w:hAnsi="Arial" w:cs="Arial"/>
          <w:color w:val="3B3B3B"/>
          <w:sz w:val="20"/>
        </w:rPr>
        <w:t>ии доходов будет выглядеть так:</w:t>
      </w:r>
    </w:p>
    <w:p w:rsidR="008435A5" w:rsidRDefault="008435A5">
      <w:pPr>
        <w:rPr>
          <w:rFonts w:ascii="Arial" w:eastAsia="Times New Roman" w:hAnsi="Arial" w:cs="Arial"/>
          <w:color w:val="3B3B3B"/>
          <w:sz w:val="20"/>
          <w:szCs w:val="20"/>
          <w:lang w:eastAsia="ru-RU"/>
        </w:rPr>
      </w:pPr>
      <w:r>
        <w:rPr>
          <w:rFonts w:ascii="Arial" w:hAnsi="Arial" w:cs="Arial"/>
          <w:color w:val="3B3B3B"/>
          <w:sz w:val="20"/>
        </w:rPr>
        <w:br w:type="page"/>
      </w:r>
    </w:p>
    <w:p w:rsidR="007015C8" w:rsidRPr="00004629" w:rsidRDefault="007015C8" w:rsidP="007015C8">
      <w:pPr>
        <w:pStyle w:val="ab"/>
        <w:ind w:left="851" w:right="283"/>
        <w:rPr>
          <w:rFonts w:ascii="Arial" w:hAnsi="Arial" w:cs="Arial"/>
          <w:b/>
          <w:color w:val="3B3B3B"/>
          <w:sz w:val="16"/>
          <w:szCs w:val="16"/>
        </w:rPr>
      </w:pPr>
      <w:r w:rsidRPr="00004629">
        <w:rPr>
          <w:rFonts w:ascii="Arial" w:hAnsi="Arial" w:cs="Arial"/>
          <w:b/>
          <w:color w:val="3B3B3B"/>
          <w:sz w:val="16"/>
          <w:szCs w:val="16"/>
        </w:rPr>
        <w:lastRenderedPageBreak/>
        <w:t>Диаграмма 2 . Абсолютное неравенство доходов</w:t>
      </w:r>
    </w:p>
    <w:p w:rsidR="007015C8" w:rsidRDefault="007015C8" w:rsidP="007015C8">
      <w:pPr>
        <w:pStyle w:val="ab"/>
        <w:ind w:left="851" w:right="283"/>
        <w:jc w:val="center"/>
        <w:rPr>
          <w:rFonts w:ascii="Arial" w:hAnsi="Arial" w:cs="Arial"/>
          <w:color w:val="3B3B3B"/>
          <w:sz w:val="20"/>
        </w:rPr>
      </w:pPr>
      <w:r w:rsidRPr="00FA50C0">
        <w:rPr>
          <w:rFonts w:ascii="Arial" w:hAnsi="Arial" w:cs="Arial"/>
          <w:noProof/>
          <w:color w:val="3B3B3B"/>
          <w:sz w:val="20"/>
        </w:rPr>
        <w:drawing>
          <wp:inline distT="0" distB="0" distL="0" distR="0">
            <wp:extent cx="4200525" cy="4143375"/>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В реальности распределение доходов обычно выглядит следующим образом: </w:t>
      </w:r>
    </w:p>
    <w:p w:rsidR="007015C8" w:rsidRPr="00004629" w:rsidRDefault="007015C8" w:rsidP="008435A5">
      <w:pPr>
        <w:pStyle w:val="ab"/>
        <w:spacing w:before="240"/>
        <w:ind w:left="851" w:right="284"/>
        <w:rPr>
          <w:rFonts w:ascii="Arial" w:hAnsi="Arial" w:cs="Arial"/>
          <w:b/>
          <w:color w:val="3B3B3B"/>
          <w:sz w:val="16"/>
          <w:szCs w:val="16"/>
        </w:rPr>
      </w:pPr>
      <w:r w:rsidRPr="00004629">
        <w:rPr>
          <w:rFonts w:ascii="Arial" w:hAnsi="Arial" w:cs="Arial"/>
          <w:b/>
          <w:color w:val="3B3B3B"/>
          <w:sz w:val="16"/>
          <w:szCs w:val="16"/>
        </w:rPr>
        <w:t>Диаграмма 3. Распределение доходов</w:t>
      </w:r>
    </w:p>
    <w:p w:rsidR="007015C8" w:rsidRDefault="007015C8" w:rsidP="007015C8">
      <w:pPr>
        <w:pStyle w:val="ab"/>
        <w:ind w:left="851" w:right="283"/>
        <w:jc w:val="center"/>
        <w:rPr>
          <w:rFonts w:ascii="Arial" w:hAnsi="Arial" w:cs="Arial"/>
          <w:color w:val="3B3B3B"/>
          <w:sz w:val="20"/>
        </w:rPr>
      </w:pPr>
      <w:r w:rsidRPr="00710B9B">
        <w:rPr>
          <w:noProof/>
          <w:color w:val="660033"/>
        </w:rPr>
        <w:drawing>
          <wp:inline distT="0" distB="0" distL="0" distR="0">
            <wp:extent cx="4162425" cy="336232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15C8" w:rsidRDefault="007015C8" w:rsidP="007015C8">
      <w:pPr>
        <w:pStyle w:val="ab"/>
        <w:ind w:left="851" w:right="283"/>
        <w:rPr>
          <w:rFonts w:ascii="Arial" w:hAnsi="Arial" w:cs="Arial"/>
          <w:color w:val="3B3B3B"/>
          <w:sz w:val="20"/>
        </w:rPr>
      </w:pPr>
      <w:r>
        <w:rPr>
          <w:rFonts w:ascii="Arial" w:hAnsi="Arial" w:cs="Arial"/>
          <w:color w:val="3B3B3B"/>
          <w:sz w:val="20"/>
        </w:rPr>
        <w:t>Фиолетовая кривая здесь – график долей дохода каждой группы жителей (</w:t>
      </w:r>
      <w:r w:rsidR="00003AF6">
        <w:rPr>
          <w:rFonts w:ascii="Arial" w:hAnsi="Arial" w:cs="Arial"/>
          <w:color w:val="3B3B3B"/>
          <w:sz w:val="20"/>
        </w:rPr>
        <w:t xml:space="preserve">в нашем случае - </w:t>
      </w:r>
      <w:r>
        <w:rPr>
          <w:rFonts w:ascii="Arial" w:hAnsi="Arial" w:cs="Arial"/>
          <w:color w:val="3B3B3B"/>
          <w:sz w:val="20"/>
        </w:rPr>
        <w:t>работников) в совокупном доходе. Например, согласно этому графику</w:t>
      </w:r>
      <w:r w:rsidR="008F028D">
        <w:rPr>
          <w:rFonts w:ascii="Arial" w:hAnsi="Arial" w:cs="Arial"/>
          <w:color w:val="3B3B3B"/>
          <w:sz w:val="20"/>
        </w:rPr>
        <w:t>,</w:t>
      </w:r>
      <w:r>
        <w:rPr>
          <w:rFonts w:ascii="Arial" w:hAnsi="Arial" w:cs="Arial"/>
          <w:color w:val="3B3B3B"/>
          <w:sz w:val="20"/>
        </w:rPr>
        <w:t xml:space="preserve"> 10% самых низкооплачиваемых работников получают всего 0,8% совокупного дохода отрасли, 90% </w:t>
      </w:r>
      <w:r>
        <w:rPr>
          <w:rFonts w:ascii="Arial" w:hAnsi="Arial" w:cs="Arial"/>
          <w:color w:val="3B3B3B"/>
          <w:sz w:val="20"/>
        </w:rPr>
        <w:lastRenderedPageBreak/>
        <w:t>сотрудников получа</w:t>
      </w:r>
      <w:r w:rsidR="00003AF6">
        <w:rPr>
          <w:rFonts w:ascii="Arial" w:hAnsi="Arial" w:cs="Arial"/>
          <w:color w:val="3B3B3B"/>
          <w:sz w:val="20"/>
        </w:rPr>
        <w:t>ю</w:t>
      </w:r>
      <w:r>
        <w:rPr>
          <w:rFonts w:ascii="Arial" w:hAnsi="Arial" w:cs="Arial"/>
          <w:color w:val="3B3B3B"/>
          <w:sz w:val="20"/>
        </w:rPr>
        <w:t>т 60% совокупного дохода, а это значит, что 40% дохода находится в руках у 10% самых высокооплачиваемых сотрудников.</w:t>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Фигура, образованная пересечением красной прямой линии и фиолетовой кривой, это и есть неравенство распределения доходов. Значение коэффициента Джини </w:t>
      </w:r>
      <w:r w:rsidR="002C6065">
        <w:rPr>
          <w:rFonts w:ascii="Arial" w:hAnsi="Arial" w:cs="Arial"/>
          <w:color w:val="3B3B3B"/>
          <w:sz w:val="20"/>
        </w:rPr>
        <w:t>–</w:t>
      </w:r>
      <w:r>
        <w:rPr>
          <w:rFonts w:ascii="Arial" w:hAnsi="Arial" w:cs="Arial"/>
          <w:color w:val="3B3B3B"/>
          <w:sz w:val="20"/>
        </w:rPr>
        <w:t xml:space="preserve"> отношение</w:t>
      </w:r>
      <w:r w:rsidR="002C6065">
        <w:rPr>
          <w:rFonts w:ascii="Arial" w:hAnsi="Arial" w:cs="Arial"/>
          <w:color w:val="3B3B3B"/>
          <w:sz w:val="20"/>
        </w:rPr>
        <w:t xml:space="preserve"> </w:t>
      </w:r>
      <w:r>
        <w:rPr>
          <w:rFonts w:ascii="Arial" w:hAnsi="Arial" w:cs="Arial"/>
          <w:color w:val="3B3B3B"/>
          <w:sz w:val="20"/>
        </w:rPr>
        <w:t>площади этой фигуры к площади всего треугольника.</w:t>
      </w:r>
    </w:p>
    <w:p w:rsidR="007015C8" w:rsidRPr="00FA50C0" w:rsidRDefault="007015C8" w:rsidP="007015C8">
      <w:pPr>
        <w:pStyle w:val="ab"/>
        <w:ind w:left="851" w:right="283"/>
        <w:rPr>
          <w:rFonts w:ascii="Arial" w:hAnsi="Arial" w:cs="Arial"/>
          <w:b/>
          <w:color w:val="3B3B3B"/>
          <w:sz w:val="22"/>
          <w:szCs w:val="22"/>
        </w:rPr>
      </w:pPr>
      <w:r>
        <w:rPr>
          <w:rFonts w:ascii="Arial" w:hAnsi="Arial" w:cs="Arial"/>
          <w:b/>
          <w:color w:val="3B3B3B"/>
          <w:sz w:val="22"/>
          <w:szCs w:val="22"/>
        </w:rPr>
        <w:t>Пример р</w:t>
      </w:r>
      <w:r w:rsidRPr="00FA50C0">
        <w:rPr>
          <w:rFonts w:ascii="Arial" w:hAnsi="Arial" w:cs="Arial"/>
          <w:b/>
          <w:color w:val="3B3B3B"/>
          <w:sz w:val="22"/>
          <w:szCs w:val="22"/>
        </w:rPr>
        <w:t>асчет</w:t>
      </w:r>
      <w:r>
        <w:rPr>
          <w:rFonts w:ascii="Arial" w:hAnsi="Arial" w:cs="Arial"/>
          <w:b/>
          <w:color w:val="3B3B3B"/>
          <w:sz w:val="22"/>
          <w:szCs w:val="22"/>
        </w:rPr>
        <w:t>а</w:t>
      </w:r>
      <w:r w:rsidRPr="00FA50C0">
        <w:rPr>
          <w:rFonts w:ascii="Arial" w:hAnsi="Arial" w:cs="Arial"/>
          <w:b/>
          <w:color w:val="3B3B3B"/>
          <w:sz w:val="22"/>
          <w:szCs w:val="22"/>
        </w:rPr>
        <w:t xml:space="preserve"> коэффициента</w:t>
      </w:r>
      <w:r>
        <w:rPr>
          <w:rFonts w:ascii="Arial" w:hAnsi="Arial" w:cs="Arial"/>
          <w:b/>
          <w:color w:val="3B3B3B"/>
          <w:sz w:val="22"/>
          <w:szCs w:val="22"/>
        </w:rPr>
        <w:t xml:space="preserve"> Джини для одной из отраслей экономики</w:t>
      </w:r>
    </w:p>
    <w:p w:rsidR="007015C8" w:rsidRDefault="007015C8" w:rsidP="007015C8">
      <w:pPr>
        <w:pStyle w:val="ab"/>
        <w:ind w:left="851" w:right="283"/>
        <w:rPr>
          <w:rFonts w:ascii="Arial" w:hAnsi="Arial" w:cs="Arial"/>
          <w:color w:val="3B3B3B"/>
          <w:sz w:val="20"/>
        </w:rPr>
      </w:pPr>
      <w:r>
        <w:rPr>
          <w:rFonts w:ascii="Arial" w:hAnsi="Arial" w:cs="Arial"/>
          <w:color w:val="3B3B3B"/>
          <w:sz w:val="20"/>
        </w:rPr>
        <w:t>Воспользуемся данными Росстата «</w:t>
      </w:r>
      <w:r w:rsidRPr="00FA50C0">
        <w:rPr>
          <w:rFonts w:ascii="Arial" w:hAnsi="Arial" w:cs="Arial"/>
          <w:color w:val="3B3B3B"/>
          <w:sz w:val="20"/>
        </w:rPr>
        <w:t>Распределение численности работников по размерам заработной платы</w:t>
      </w:r>
      <w:r>
        <w:rPr>
          <w:rFonts w:ascii="Arial" w:hAnsi="Arial" w:cs="Arial"/>
          <w:color w:val="3B3B3B"/>
          <w:sz w:val="20"/>
        </w:rPr>
        <w:t xml:space="preserve">» </w:t>
      </w:r>
      <w:r w:rsidR="002C6065">
        <w:rPr>
          <w:rFonts w:ascii="Arial" w:hAnsi="Arial" w:cs="Arial"/>
          <w:color w:val="3B3B3B"/>
          <w:sz w:val="20"/>
        </w:rPr>
        <w:t>п</w:t>
      </w:r>
      <w:r>
        <w:rPr>
          <w:rFonts w:ascii="Arial" w:hAnsi="Arial" w:cs="Arial"/>
          <w:color w:val="3B3B3B"/>
          <w:sz w:val="20"/>
        </w:rPr>
        <w:t xml:space="preserve">о видам экономической деятельности </w:t>
      </w:r>
      <w:r w:rsidRPr="00FA50C0">
        <w:rPr>
          <w:rFonts w:ascii="Arial" w:hAnsi="Arial" w:cs="Arial"/>
          <w:color w:val="3B3B3B"/>
          <w:sz w:val="20"/>
        </w:rPr>
        <w:t>и попробуем на основе этих данных построить кривую Лоренца и вычислить значение коэффициента Джини.</w:t>
      </w:r>
    </w:p>
    <w:p w:rsidR="007015C8" w:rsidRDefault="007015C8" w:rsidP="008435A5">
      <w:pPr>
        <w:pStyle w:val="ab"/>
        <w:spacing w:before="240"/>
        <w:ind w:left="851" w:right="284"/>
        <w:rPr>
          <w:rFonts w:ascii="Arial" w:hAnsi="Arial" w:cs="Arial"/>
          <w:color w:val="3B3B3B"/>
          <w:sz w:val="16"/>
          <w:szCs w:val="16"/>
        </w:rPr>
      </w:pPr>
      <w:r w:rsidRPr="00004629">
        <w:rPr>
          <w:rFonts w:ascii="Arial" w:hAnsi="Arial" w:cs="Arial"/>
          <w:b/>
          <w:color w:val="3B3B3B"/>
          <w:sz w:val="16"/>
          <w:szCs w:val="16"/>
        </w:rPr>
        <w:t>Таблица 1. Распределение численности работников по размерам заработной платы» то видам экономической деятельности, в 2015 году</w:t>
      </w:r>
      <w:r>
        <w:rPr>
          <w:rFonts w:ascii="Arial" w:hAnsi="Arial" w:cs="Arial"/>
          <w:color w:val="3B3B3B"/>
          <w:sz w:val="16"/>
          <w:szCs w:val="16"/>
        </w:rPr>
        <w:t>*</w:t>
      </w:r>
    </w:p>
    <w:p w:rsidR="007015C8" w:rsidRPr="00FA50C0" w:rsidRDefault="007015C8" w:rsidP="007015C8">
      <w:pPr>
        <w:pStyle w:val="ab"/>
        <w:ind w:left="851" w:right="283"/>
        <w:rPr>
          <w:rFonts w:ascii="Arial" w:hAnsi="Arial" w:cs="Arial"/>
          <w:color w:val="3B3B3B"/>
          <w:sz w:val="16"/>
          <w:szCs w:val="16"/>
        </w:rPr>
      </w:pPr>
      <w:r w:rsidRPr="00A5281F">
        <w:rPr>
          <w:rFonts w:ascii="Arial" w:hAnsi="Arial" w:cs="Arial"/>
          <w:color w:val="3B3B3B"/>
          <w:sz w:val="16"/>
          <w:szCs w:val="16"/>
        </w:rPr>
        <w:t>*Данные публикуются один раз в 2 года, в апреле.</w:t>
      </w:r>
    </w:p>
    <w:tbl>
      <w:tblPr>
        <w:tblW w:w="9840" w:type="dxa"/>
        <w:jc w:val="center"/>
        <w:tblLook w:val="04A0"/>
      </w:tblPr>
      <w:tblGrid>
        <w:gridCol w:w="1437"/>
        <w:gridCol w:w="450"/>
        <w:gridCol w:w="516"/>
        <w:gridCol w:w="478"/>
        <w:gridCol w:w="459"/>
        <w:gridCol w:w="516"/>
        <w:gridCol w:w="573"/>
        <w:gridCol w:w="517"/>
        <w:gridCol w:w="517"/>
        <w:gridCol w:w="479"/>
        <w:gridCol w:w="479"/>
        <w:gridCol w:w="517"/>
        <w:gridCol w:w="536"/>
        <w:gridCol w:w="498"/>
        <w:gridCol w:w="460"/>
        <w:gridCol w:w="460"/>
        <w:gridCol w:w="450"/>
        <w:gridCol w:w="498"/>
      </w:tblGrid>
      <w:tr w:rsidR="007015C8" w:rsidRPr="00A5281F" w:rsidTr="008435A5">
        <w:trPr>
          <w:trHeight w:val="4215"/>
          <w:jc w:val="center"/>
        </w:trPr>
        <w:tc>
          <w:tcPr>
            <w:tcW w:w="14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hAnsi="Arial" w:cs="Arial"/>
                <w:color w:val="404040" w:themeColor="text1" w:themeTint="BF"/>
                <w:sz w:val="20"/>
              </w:rPr>
              <w:t xml:space="preserve"> </w:t>
            </w:r>
            <w:r w:rsidRPr="00A5281F">
              <w:rPr>
                <w:rFonts w:ascii="Arial" w:eastAsia="Times New Roman" w:hAnsi="Arial" w:cs="Arial"/>
                <w:b/>
                <w:bCs/>
                <w:color w:val="404040" w:themeColor="text1" w:themeTint="BF"/>
                <w:sz w:val="12"/>
                <w:szCs w:val="12"/>
                <w:lang w:eastAsia="ru-RU"/>
              </w:rPr>
              <w:t>Начисленная заработная плата</w:t>
            </w:r>
          </w:p>
        </w:tc>
        <w:tc>
          <w:tcPr>
            <w:tcW w:w="45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Сельское хозяйство, охота и лесное хозяйство</w:t>
            </w:r>
          </w:p>
        </w:tc>
        <w:tc>
          <w:tcPr>
            <w:tcW w:w="51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Рыболовство, рыбоводство</w:t>
            </w:r>
          </w:p>
        </w:tc>
        <w:tc>
          <w:tcPr>
            <w:tcW w:w="478"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Добыча полезных ископаемых</w:t>
            </w:r>
          </w:p>
        </w:tc>
        <w:tc>
          <w:tcPr>
            <w:tcW w:w="45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Обрабатывающие производства</w:t>
            </w:r>
          </w:p>
        </w:tc>
        <w:tc>
          <w:tcPr>
            <w:tcW w:w="51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Производство и распределение электроэнергии, газа и воды</w:t>
            </w:r>
          </w:p>
        </w:tc>
        <w:tc>
          <w:tcPr>
            <w:tcW w:w="573"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Строительство</w:t>
            </w:r>
          </w:p>
        </w:tc>
        <w:tc>
          <w:tcPr>
            <w:tcW w:w="5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Оптовая и розничная торговля, ремонт автотранспортных средств и мотоциклов</w:t>
            </w:r>
          </w:p>
        </w:tc>
        <w:tc>
          <w:tcPr>
            <w:tcW w:w="5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Гостиницы и рестораны</w:t>
            </w:r>
          </w:p>
        </w:tc>
        <w:tc>
          <w:tcPr>
            <w:tcW w:w="47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Транспорт и связь</w:t>
            </w:r>
          </w:p>
        </w:tc>
        <w:tc>
          <w:tcPr>
            <w:tcW w:w="47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Финансовая деятельность</w:t>
            </w:r>
          </w:p>
        </w:tc>
        <w:tc>
          <w:tcPr>
            <w:tcW w:w="5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Операции с недвижимым имуществом, аренда и предоставление услуг</w:t>
            </w:r>
          </w:p>
        </w:tc>
        <w:tc>
          <w:tcPr>
            <w:tcW w:w="53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Научные исследования и разработки</w:t>
            </w:r>
          </w:p>
        </w:tc>
        <w:tc>
          <w:tcPr>
            <w:tcW w:w="498"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Государственное управление, обязательное социальное обеспечение, деятельность экстерриториальных организаций</w:t>
            </w:r>
          </w:p>
        </w:tc>
        <w:tc>
          <w:tcPr>
            <w:tcW w:w="46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Образование</w:t>
            </w:r>
          </w:p>
        </w:tc>
        <w:tc>
          <w:tcPr>
            <w:tcW w:w="46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Здравоохранение и предоставление социальных услуг</w:t>
            </w:r>
          </w:p>
        </w:tc>
        <w:tc>
          <w:tcPr>
            <w:tcW w:w="45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Предоставление коммунальных, персональных и социальных услуг</w:t>
            </w:r>
          </w:p>
        </w:tc>
        <w:tc>
          <w:tcPr>
            <w:tcW w:w="498"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2"/>
                <w:szCs w:val="12"/>
                <w:lang w:eastAsia="ru-RU"/>
              </w:rPr>
            </w:pPr>
            <w:r w:rsidRPr="00A5281F">
              <w:rPr>
                <w:rFonts w:ascii="Arial" w:eastAsia="Times New Roman" w:hAnsi="Arial" w:cs="Arial"/>
                <w:b/>
                <w:bCs/>
                <w:color w:val="404040" w:themeColor="text1" w:themeTint="BF"/>
                <w:sz w:val="12"/>
                <w:szCs w:val="12"/>
                <w:lang w:eastAsia="ru-RU"/>
              </w:rPr>
              <w:t>Из них деятельность по организации отдыха, развлечений, культуры и спорта</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до 5965,0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0,1</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0,3</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0,3</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0,8</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3,4</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2,8</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2,9</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5965,1-7400,0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6,8</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5,5</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0,2</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0,9</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3,2</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0,6</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7,5</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3,3</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5,7</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7400,1-10600,0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5,7</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4,1</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5,2</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8,2</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10,5</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4,9</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2,4</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12,8</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10,7</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11,5</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11,8</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10600,1-13800,0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14,7</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6,4</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7,1</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10,8</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6,1</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2,3</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7,2</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3,6</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10,9</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13,6</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12,4</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12,7</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13800,1-17000,0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13,2</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7,5</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3,1</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9,5</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11,7</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6,8</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3,7</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8,2</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4,8</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9,7</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11,8</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11,9</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17000,1-21800,0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9,3</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13,8</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15,2</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10,9</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14,2</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11,1</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8,5</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10,9</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7,9</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10,7</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13,5</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15,1</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13,7</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13,6</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21800,1-25000,0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8,4</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5,4</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9,6</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9,5</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7,4</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7,7</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7,3</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6,7</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6,9</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7,8</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7,5</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7,4</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25000,1-35000,0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14,9</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24,1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21,5</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20,9</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19,1</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20,9</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21,5</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16,6</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19,2</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17,9</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16,3</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14,6</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35000,1-50000,0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14,1</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21,3</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16,3</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19,5</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12,6</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13,2</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21,1</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16,2</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22,1</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21,3</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10,4</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10,8</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10,1</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9,9</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50000,1-75000,0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2,2</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11,2</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21,6</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9,3</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9,9</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12,3</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7,4</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5,6</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12,4</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15,7</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12,5</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18,3</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15,4</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4,9</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75000,1-100000,0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0,5</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10,9</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2,7</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3,2</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4,6</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2,8</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4,2</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6,8</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5,3</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6,8</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4,6</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100000,1-250000,0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8,5</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10,4</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2,4</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3,3</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3,3</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3,4</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6,1</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6,3</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3,3</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w:t>
            </w:r>
          </w:p>
        </w:tc>
      </w:tr>
      <w:tr w:rsidR="007015C8" w:rsidRPr="00A5281F" w:rsidTr="008435A5">
        <w:trPr>
          <w:trHeight w:val="255"/>
          <w:jc w:val="center"/>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свыше 250000,0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4,2</w:t>
            </w:r>
          </w:p>
        </w:tc>
        <w:tc>
          <w:tcPr>
            <w:tcW w:w="47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0,9</w:t>
            </w:r>
          </w:p>
        </w:tc>
        <w:tc>
          <w:tcPr>
            <w:tcW w:w="45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0,3</w:t>
            </w:r>
          </w:p>
        </w:tc>
        <w:tc>
          <w:tcPr>
            <w:tcW w:w="51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0,2</w:t>
            </w:r>
          </w:p>
        </w:tc>
        <w:tc>
          <w:tcPr>
            <w:tcW w:w="573"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0,7</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0,3</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0,5</w:t>
            </w:r>
          </w:p>
        </w:tc>
        <w:tc>
          <w:tcPr>
            <w:tcW w:w="479"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w:t>
            </w:r>
          </w:p>
        </w:tc>
        <w:tc>
          <w:tcPr>
            <w:tcW w:w="517"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0,8</w:t>
            </w:r>
          </w:p>
        </w:tc>
        <w:tc>
          <w:tcPr>
            <w:tcW w:w="536"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0,7</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0,2</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w:t>
            </w:r>
          </w:p>
        </w:tc>
        <w:tc>
          <w:tcPr>
            <w:tcW w:w="4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w:t>
            </w:r>
          </w:p>
        </w:tc>
        <w:tc>
          <w:tcPr>
            <w:tcW w:w="45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c>
          <w:tcPr>
            <w:tcW w:w="498"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r>
    </w:tbl>
    <w:p w:rsidR="007015C8" w:rsidRDefault="007015C8" w:rsidP="007015C8">
      <w:pPr>
        <w:pStyle w:val="ab"/>
        <w:ind w:left="851" w:right="283"/>
        <w:rPr>
          <w:rFonts w:ascii="Arial" w:hAnsi="Arial" w:cs="Arial"/>
          <w:color w:val="3B3B3B"/>
          <w:sz w:val="20"/>
        </w:rPr>
      </w:pPr>
      <w:r>
        <w:rPr>
          <w:rFonts w:ascii="Arial" w:hAnsi="Arial" w:cs="Arial"/>
          <w:color w:val="3B3B3B"/>
          <w:sz w:val="20"/>
        </w:rPr>
        <w:t>Для</w:t>
      </w:r>
      <w:r w:rsidRPr="00FA50C0">
        <w:rPr>
          <w:rFonts w:ascii="Arial" w:hAnsi="Arial" w:cs="Arial"/>
          <w:color w:val="3B3B3B"/>
          <w:sz w:val="20"/>
        </w:rPr>
        <w:t xml:space="preserve"> построения кривой Лоренца и расчета коэффициента Джини необходимы данные о доле дохода каждой группы населения</w:t>
      </w:r>
      <w:r>
        <w:rPr>
          <w:rFonts w:ascii="Arial" w:hAnsi="Arial" w:cs="Arial"/>
          <w:color w:val="3B3B3B"/>
          <w:sz w:val="20"/>
        </w:rPr>
        <w:t xml:space="preserve"> (в данном случае работников отрасли)</w:t>
      </w:r>
      <w:r w:rsidRPr="00FA50C0">
        <w:rPr>
          <w:rFonts w:ascii="Arial" w:hAnsi="Arial" w:cs="Arial"/>
          <w:color w:val="3B3B3B"/>
          <w:sz w:val="20"/>
        </w:rPr>
        <w:t xml:space="preserve"> в совокупном до</w:t>
      </w:r>
      <w:r>
        <w:rPr>
          <w:rFonts w:ascii="Arial" w:hAnsi="Arial" w:cs="Arial"/>
          <w:color w:val="3B3B3B"/>
          <w:sz w:val="20"/>
        </w:rPr>
        <w:t xml:space="preserve">ходе. Эти данные в </w:t>
      </w:r>
      <w:r w:rsidRPr="002C6065">
        <w:rPr>
          <w:rFonts w:ascii="Arial" w:hAnsi="Arial" w:cs="Arial"/>
          <w:b/>
          <w:color w:val="3B3B3B"/>
          <w:sz w:val="20"/>
        </w:rPr>
        <w:t>Таблице</w:t>
      </w:r>
      <w:r w:rsidRPr="00053156">
        <w:rPr>
          <w:rFonts w:ascii="Arial" w:hAnsi="Arial" w:cs="Arial"/>
          <w:color w:val="3B3B3B"/>
          <w:sz w:val="20"/>
        </w:rPr>
        <w:t xml:space="preserve"> </w:t>
      </w:r>
      <w:r w:rsidRPr="002C6065">
        <w:rPr>
          <w:rFonts w:ascii="Arial" w:hAnsi="Arial" w:cs="Arial"/>
          <w:b/>
          <w:color w:val="3B3B3B"/>
          <w:sz w:val="20"/>
        </w:rPr>
        <w:t>1</w:t>
      </w:r>
      <w:r>
        <w:rPr>
          <w:rFonts w:ascii="Arial" w:hAnsi="Arial" w:cs="Arial"/>
          <w:color w:val="3B3B3B"/>
          <w:sz w:val="20"/>
        </w:rPr>
        <w:t xml:space="preserve"> отсутствуют. Для того</w:t>
      </w:r>
      <w:r w:rsidRPr="00FA50C0">
        <w:rPr>
          <w:rFonts w:ascii="Arial" w:hAnsi="Arial" w:cs="Arial"/>
          <w:color w:val="3B3B3B"/>
          <w:sz w:val="20"/>
        </w:rPr>
        <w:t xml:space="preserve"> чтобы получить </w:t>
      </w:r>
      <w:r>
        <w:rPr>
          <w:rFonts w:ascii="Arial" w:hAnsi="Arial" w:cs="Arial"/>
          <w:color w:val="3B3B3B"/>
          <w:sz w:val="20"/>
        </w:rPr>
        <w:t>такие данные</w:t>
      </w:r>
      <w:r w:rsidR="00EE1095">
        <w:rPr>
          <w:rFonts w:ascii="Arial" w:hAnsi="Arial" w:cs="Arial"/>
          <w:color w:val="3B3B3B"/>
          <w:sz w:val="20"/>
        </w:rPr>
        <w:t>,</w:t>
      </w:r>
      <w:r>
        <w:rPr>
          <w:rFonts w:ascii="Arial" w:hAnsi="Arial" w:cs="Arial"/>
          <w:color w:val="3B3B3B"/>
          <w:sz w:val="20"/>
        </w:rPr>
        <w:t xml:space="preserve"> воспользуемся математическим приемом: </w:t>
      </w:r>
      <w:r w:rsidRPr="00FA50C0">
        <w:rPr>
          <w:rFonts w:ascii="Arial" w:hAnsi="Arial" w:cs="Arial"/>
          <w:color w:val="3B3B3B"/>
          <w:sz w:val="20"/>
        </w:rPr>
        <w:t>умножим средние для каждого интервала доходы (определим их как середину интервала) на соответствующие удельные веса (доли) населения, получив тем самым так называемые про</w:t>
      </w:r>
      <w:r>
        <w:rPr>
          <w:rFonts w:ascii="Arial" w:hAnsi="Arial" w:cs="Arial"/>
          <w:color w:val="3B3B3B"/>
          <w:sz w:val="20"/>
        </w:rPr>
        <w:t xml:space="preserve">центные числа групповых доходов. </w:t>
      </w:r>
      <w:r w:rsidRPr="00FA50C0">
        <w:rPr>
          <w:rFonts w:ascii="Arial" w:hAnsi="Arial" w:cs="Arial"/>
          <w:color w:val="3B3B3B"/>
          <w:sz w:val="20"/>
        </w:rPr>
        <w:t>Затем, рассчитав удельные веса групп в общем доходе и просуммировав их, получим кумулятивный ряд по доходам, выраженный в процентах.</w:t>
      </w:r>
    </w:p>
    <w:p w:rsidR="007015C8" w:rsidRDefault="007015C8" w:rsidP="007015C8">
      <w:pPr>
        <w:pStyle w:val="ab"/>
        <w:ind w:left="851" w:right="283"/>
        <w:rPr>
          <w:rFonts w:ascii="Arial" w:hAnsi="Arial" w:cs="Arial"/>
          <w:i/>
          <w:color w:val="3B3B3B"/>
          <w:sz w:val="20"/>
        </w:rPr>
      </w:pPr>
      <w:r>
        <w:rPr>
          <w:rFonts w:ascii="Arial" w:hAnsi="Arial" w:cs="Arial"/>
          <w:color w:val="3B3B3B"/>
          <w:sz w:val="20"/>
        </w:rPr>
        <w:t xml:space="preserve">Для примера проведем расчеты по одной из отраслей, например, по </w:t>
      </w:r>
      <w:r w:rsidR="008F028D">
        <w:rPr>
          <w:rFonts w:ascii="Arial" w:hAnsi="Arial" w:cs="Arial"/>
          <w:i/>
          <w:color w:val="3B3B3B"/>
          <w:sz w:val="20"/>
        </w:rPr>
        <w:t>с</w:t>
      </w:r>
      <w:r w:rsidRPr="00FA50C0">
        <w:rPr>
          <w:rFonts w:ascii="Arial" w:hAnsi="Arial" w:cs="Arial"/>
          <w:i/>
          <w:color w:val="3B3B3B"/>
          <w:sz w:val="20"/>
        </w:rPr>
        <w:t>ельско</w:t>
      </w:r>
      <w:r w:rsidR="008F028D">
        <w:rPr>
          <w:rFonts w:ascii="Arial" w:hAnsi="Arial" w:cs="Arial"/>
          <w:i/>
          <w:color w:val="3B3B3B"/>
          <w:sz w:val="20"/>
        </w:rPr>
        <w:t>му</w:t>
      </w:r>
      <w:r w:rsidRPr="00FA50C0">
        <w:rPr>
          <w:rFonts w:ascii="Arial" w:hAnsi="Arial" w:cs="Arial"/>
          <w:i/>
          <w:color w:val="3B3B3B"/>
          <w:sz w:val="20"/>
        </w:rPr>
        <w:t xml:space="preserve"> хозяй</w:t>
      </w:r>
      <w:r w:rsidR="002C6065">
        <w:rPr>
          <w:rFonts w:ascii="Arial" w:hAnsi="Arial" w:cs="Arial"/>
          <w:i/>
          <w:color w:val="3B3B3B"/>
          <w:sz w:val="20"/>
        </w:rPr>
        <w:t>ств</w:t>
      </w:r>
      <w:r w:rsidR="008F028D">
        <w:rPr>
          <w:rFonts w:ascii="Arial" w:hAnsi="Arial" w:cs="Arial"/>
          <w:i/>
          <w:color w:val="3B3B3B"/>
          <w:sz w:val="20"/>
        </w:rPr>
        <w:t>у</w:t>
      </w:r>
      <w:r w:rsidR="002C6065">
        <w:rPr>
          <w:rFonts w:ascii="Arial" w:hAnsi="Arial" w:cs="Arial"/>
          <w:i/>
          <w:color w:val="3B3B3B"/>
          <w:sz w:val="20"/>
        </w:rPr>
        <w:t>, охот</w:t>
      </w:r>
      <w:r w:rsidR="008F028D">
        <w:rPr>
          <w:rFonts w:ascii="Arial" w:hAnsi="Arial" w:cs="Arial"/>
          <w:i/>
          <w:color w:val="3B3B3B"/>
          <w:sz w:val="20"/>
        </w:rPr>
        <w:t>е</w:t>
      </w:r>
      <w:r w:rsidR="002C6065">
        <w:rPr>
          <w:rFonts w:ascii="Arial" w:hAnsi="Arial" w:cs="Arial"/>
          <w:i/>
          <w:color w:val="3B3B3B"/>
          <w:sz w:val="20"/>
        </w:rPr>
        <w:t xml:space="preserve"> и лесно</w:t>
      </w:r>
      <w:r w:rsidR="008F028D">
        <w:rPr>
          <w:rFonts w:ascii="Arial" w:hAnsi="Arial" w:cs="Arial"/>
          <w:i/>
          <w:color w:val="3B3B3B"/>
          <w:sz w:val="20"/>
        </w:rPr>
        <w:t>му</w:t>
      </w:r>
      <w:r w:rsidR="00940BB9">
        <w:rPr>
          <w:rFonts w:ascii="Arial" w:hAnsi="Arial" w:cs="Arial"/>
          <w:i/>
          <w:color w:val="3B3B3B"/>
          <w:sz w:val="20"/>
        </w:rPr>
        <w:t xml:space="preserve"> хозяйству.</w:t>
      </w:r>
    </w:p>
    <w:p w:rsidR="007015C8" w:rsidRPr="00004629" w:rsidRDefault="007015C8" w:rsidP="008435A5">
      <w:pPr>
        <w:pStyle w:val="ab"/>
        <w:spacing w:before="240"/>
        <w:ind w:left="851" w:right="284"/>
        <w:rPr>
          <w:rFonts w:ascii="Arial" w:hAnsi="Arial" w:cs="Arial"/>
          <w:b/>
          <w:i/>
          <w:color w:val="3B3B3B"/>
          <w:sz w:val="16"/>
          <w:szCs w:val="16"/>
        </w:rPr>
      </w:pPr>
      <w:r w:rsidRPr="00004629">
        <w:rPr>
          <w:rFonts w:ascii="Arial" w:hAnsi="Arial" w:cs="Arial"/>
          <w:b/>
          <w:color w:val="3B3B3B"/>
          <w:sz w:val="16"/>
          <w:szCs w:val="16"/>
        </w:rPr>
        <w:lastRenderedPageBreak/>
        <w:t xml:space="preserve">Таблица 2. Расчетные данные для вычисления коэффициента </w:t>
      </w:r>
      <w:proofErr w:type="spellStart"/>
      <w:r w:rsidRPr="00004629">
        <w:rPr>
          <w:rFonts w:ascii="Arial" w:hAnsi="Arial" w:cs="Arial"/>
          <w:b/>
          <w:color w:val="3B3B3B"/>
          <w:sz w:val="16"/>
          <w:szCs w:val="16"/>
        </w:rPr>
        <w:t>Джини</w:t>
      </w:r>
      <w:proofErr w:type="spellEnd"/>
      <w:r w:rsidRPr="00004629">
        <w:rPr>
          <w:rFonts w:ascii="Arial" w:hAnsi="Arial" w:cs="Arial"/>
          <w:b/>
          <w:color w:val="3B3B3B"/>
          <w:sz w:val="16"/>
          <w:szCs w:val="16"/>
        </w:rPr>
        <w:t xml:space="preserve"> по отрасли </w:t>
      </w:r>
      <w:r w:rsidR="000820D5">
        <w:rPr>
          <w:rFonts w:ascii="Arial" w:hAnsi="Arial" w:cs="Arial"/>
          <w:b/>
          <w:i/>
          <w:color w:val="3B3B3B"/>
          <w:sz w:val="16"/>
          <w:szCs w:val="16"/>
        </w:rPr>
        <w:t>с</w:t>
      </w:r>
      <w:r w:rsidRPr="00004629">
        <w:rPr>
          <w:rFonts w:ascii="Arial" w:hAnsi="Arial" w:cs="Arial"/>
          <w:b/>
          <w:i/>
          <w:color w:val="3B3B3B"/>
          <w:sz w:val="16"/>
          <w:szCs w:val="16"/>
        </w:rPr>
        <w:t>ельское хозяйство, охота и лесное хозяйство</w:t>
      </w:r>
    </w:p>
    <w:tbl>
      <w:tblPr>
        <w:tblW w:w="10860" w:type="dxa"/>
        <w:jc w:val="center"/>
        <w:tblLook w:val="04A0"/>
      </w:tblPr>
      <w:tblGrid>
        <w:gridCol w:w="1140"/>
        <w:gridCol w:w="1120"/>
        <w:gridCol w:w="2740"/>
        <w:gridCol w:w="1540"/>
        <w:gridCol w:w="1720"/>
        <w:gridCol w:w="1160"/>
        <w:gridCol w:w="1440"/>
      </w:tblGrid>
      <w:tr w:rsidR="007015C8" w:rsidRPr="00A5281F" w:rsidTr="008435A5">
        <w:trPr>
          <w:trHeight w:val="1170"/>
          <w:jc w:val="center"/>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Доход</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С</w:t>
            </w:r>
            <w:r w:rsidR="00EE1095">
              <w:rPr>
                <w:rFonts w:ascii="Arial" w:eastAsia="Times New Roman" w:hAnsi="Arial" w:cs="Arial"/>
                <w:b/>
                <w:bCs/>
                <w:color w:val="404040" w:themeColor="text1" w:themeTint="BF"/>
                <w:sz w:val="16"/>
                <w:szCs w:val="16"/>
                <w:lang w:eastAsia="ru-RU"/>
              </w:rPr>
              <w:t>е</w:t>
            </w:r>
            <w:r w:rsidRPr="00A5281F">
              <w:rPr>
                <w:rFonts w:ascii="Arial" w:eastAsia="Times New Roman" w:hAnsi="Arial" w:cs="Arial"/>
                <w:b/>
                <w:bCs/>
                <w:color w:val="404040" w:themeColor="text1" w:themeTint="BF"/>
                <w:sz w:val="16"/>
                <w:szCs w:val="16"/>
                <w:lang w:eastAsia="ru-RU"/>
              </w:rPr>
              <w:t>редина интервала</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Удельный вес работников, получающий соответствующий уровень заработной платы</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Кумулятивный ряд численности работников</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Групповые доходы, процентные числа</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Удельный вес в общем доходе</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A5281F">
              <w:rPr>
                <w:rFonts w:ascii="Arial" w:eastAsia="Times New Roman" w:hAnsi="Arial" w:cs="Arial"/>
                <w:b/>
                <w:bCs/>
                <w:color w:val="404040" w:themeColor="text1" w:themeTint="BF"/>
                <w:sz w:val="16"/>
                <w:szCs w:val="16"/>
                <w:lang w:eastAsia="ru-RU"/>
              </w:rPr>
              <w:t>Кумулятивный ряд доходов</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до 5965,0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4000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0,51</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0,02</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5965,1-7400,0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6,8</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9,3</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42160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2,15</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2,66</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7400,1-10600,0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9000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15,1</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24,4</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135900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6,94</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9,60</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10600,1-13800,0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11950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14,7</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39,1</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175665</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8,97</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18,57</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13800,1-17000,0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15150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13,2</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52,3</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199980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10,21</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28,78</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17000,1-21800,0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18600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16</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68,3</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297600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15,19</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43,97</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21800,1-25000,0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22600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8,4</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76,7</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189840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9,69</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53,66</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25000,1-35000,0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30000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14,1</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90,8</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423000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21,59</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75,25</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35000,1-50000,0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42500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97</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263500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13,45</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88,71</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50000,1-75000,0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62500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2,2</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99,2</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137500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7,02</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95,72</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75000,1-100000,0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87500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0,5</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99,7</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43750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2,23</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97,96</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100000,1-250000,0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100000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0,4</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40000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2,04</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100,00</w:t>
            </w:r>
          </w:p>
        </w:tc>
      </w:tr>
      <w:tr w:rsidR="007015C8" w:rsidRPr="00A5281F" w:rsidTr="008435A5">
        <w:trPr>
          <w:trHeight w:val="255"/>
          <w:jc w:val="center"/>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свыше 250000,0</w:t>
            </w:r>
          </w:p>
        </w:tc>
        <w:tc>
          <w:tcPr>
            <w:tcW w:w="11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250000</w:t>
            </w:r>
          </w:p>
        </w:tc>
        <w:tc>
          <w:tcPr>
            <w:tcW w:w="27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w:t>
            </w:r>
          </w:p>
        </w:tc>
        <w:tc>
          <w:tcPr>
            <w:tcW w:w="15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w:t>
            </w:r>
          </w:p>
        </w:tc>
        <w:tc>
          <w:tcPr>
            <w:tcW w:w="172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w:t>
            </w:r>
          </w:p>
        </w:tc>
        <w:tc>
          <w:tcPr>
            <w:tcW w:w="116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0,00</w:t>
            </w:r>
          </w:p>
        </w:tc>
        <w:tc>
          <w:tcPr>
            <w:tcW w:w="1440" w:type="dxa"/>
            <w:tcBorders>
              <w:top w:val="nil"/>
              <w:left w:val="nil"/>
              <w:bottom w:val="single" w:sz="4" w:space="0" w:color="auto"/>
              <w:right w:val="single" w:sz="4" w:space="0" w:color="auto"/>
            </w:tcBorders>
            <w:shd w:val="clear" w:color="auto" w:fill="auto"/>
            <w:vAlign w:val="center"/>
            <w:hideMark/>
          </w:tcPr>
          <w:p w:rsidR="007015C8" w:rsidRPr="00A5281F" w:rsidRDefault="007015C8" w:rsidP="008435A5">
            <w:pPr>
              <w:spacing w:after="0" w:line="240" w:lineRule="auto"/>
              <w:jc w:val="center"/>
              <w:rPr>
                <w:rFonts w:ascii="Arial" w:eastAsia="Times New Roman" w:hAnsi="Arial" w:cs="Arial"/>
                <w:color w:val="404040" w:themeColor="text1" w:themeTint="BF"/>
                <w:sz w:val="12"/>
                <w:szCs w:val="12"/>
                <w:lang w:eastAsia="ru-RU"/>
              </w:rPr>
            </w:pPr>
            <w:r w:rsidRPr="00A5281F">
              <w:rPr>
                <w:rFonts w:ascii="Arial" w:eastAsia="Times New Roman" w:hAnsi="Arial" w:cs="Arial"/>
                <w:color w:val="404040" w:themeColor="text1" w:themeTint="BF"/>
                <w:sz w:val="12"/>
                <w:szCs w:val="12"/>
                <w:lang w:eastAsia="ru-RU"/>
              </w:rPr>
              <w:t>100,00</w:t>
            </w:r>
          </w:p>
        </w:tc>
      </w:tr>
    </w:tbl>
    <w:p w:rsidR="007015C8" w:rsidRDefault="007015C8" w:rsidP="007015C8">
      <w:pPr>
        <w:pStyle w:val="ab"/>
        <w:ind w:left="851" w:right="283"/>
        <w:rPr>
          <w:rFonts w:ascii="Arial" w:hAnsi="Arial" w:cs="Arial"/>
          <w:b/>
          <w:color w:val="3B3B3B"/>
          <w:sz w:val="20"/>
        </w:rPr>
      </w:pPr>
      <w:r>
        <w:rPr>
          <w:rFonts w:ascii="Arial" w:hAnsi="Arial" w:cs="Arial"/>
          <w:b/>
          <w:color w:val="3B3B3B"/>
          <w:sz w:val="20"/>
        </w:rPr>
        <w:t xml:space="preserve">Доход – </w:t>
      </w:r>
      <w:r w:rsidRPr="00FA50C0">
        <w:rPr>
          <w:rFonts w:ascii="Arial" w:hAnsi="Arial" w:cs="Arial"/>
          <w:color w:val="3B3B3B"/>
          <w:sz w:val="20"/>
        </w:rPr>
        <w:t xml:space="preserve">данные Росстата </w:t>
      </w:r>
      <w:r w:rsidRPr="00EE1095">
        <w:rPr>
          <w:rFonts w:ascii="Arial" w:hAnsi="Arial" w:cs="Arial"/>
          <w:b/>
          <w:color w:val="3B3B3B"/>
          <w:sz w:val="20"/>
        </w:rPr>
        <w:t>(</w:t>
      </w:r>
      <w:proofErr w:type="gramStart"/>
      <w:r w:rsidRPr="00940BB9">
        <w:rPr>
          <w:rFonts w:ascii="Arial" w:hAnsi="Arial" w:cs="Arial"/>
          <w:b/>
          <w:color w:val="3B3B3B"/>
          <w:sz w:val="20"/>
        </w:rPr>
        <w:t>см</w:t>
      </w:r>
      <w:proofErr w:type="gramEnd"/>
      <w:r w:rsidRPr="00940BB9">
        <w:rPr>
          <w:rFonts w:ascii="Arial" w:hAnsi="Arial" w:cs="Arial"/>
          <w:b/>
          <w:color w:val="3B3B3B"/>
          <w:sz w:val="20"/>
        </w:rPr>
        <w:t>. Таблицу 1</w:t>
      </w:r>
      <w:r w:rsidRPr="00EE1095">
        <w:rPr>
          <w:rFonts w:ascii="Arial" w:hAnsi="Arial" w:cs="Arial"/>
          <w:b/>
          <w:color w:val="3B3B3B"/>
          <w:sz w:val="20"/>
        </w:rPr>
        <w:t>)</w:t>
      </w:r>
    </w:p>
    <w:p w:rsidR="007015C8" w:rsidRDefault="007015C8" w:rsidP="007015C8">
      <w:pPr>
        <w:pStyle w:val="ab"/>
        <w:ind w:left="851" w:right="283"/>
        <w:rPr>
          <w:rFonts w:ascii="Arial" w:hAnsi="Arial" w:cs="Arial"/>
          <w:color w:val="3B3B3B"/>
          <w:sz w:val="20"/>
        </w:rPr>
      </w:pPr>
      <w:r w:rsidRPr="00FA50C0">
        <w:rPr>
          <w:rFonts w:ascii="Arial" w:hAnsi="Arial" w:cs="Arial"/>
          <w:b/>
          <w:color w:val="3B3B3B"/>
          <w:sz w:val="20"/>
        </w:rPr>
        <w:t>С</w:t>
      </w:r>
      <w:r w:rsidR="00EE1095">
        <w:rPr>
          <w:rFonts w:ascii="Arial" w:hAnsi="Arial" w:cs="Arial"/>
          <w:b/>
          <w:color w:val="3B3B3B"/>
          <w:sz w:val="20"/>
        </w:rPr>
        <w:t>е</w:t>
      </w:r>
      <w:r w:rsidRPr="00FA50C0">
        <w:rPr>
          <w:rFonts w:ascii="Arial" w:hAnsi="Arial" w:cs="Arial"/>
          <w:b/>
          <w:color w:val="3B3B3B"/>
          <w:sz w:val="20"/>
        </w:rPr>
        <w:t>редина интервала</w:t>
      </w:r>
      <w:r>
        <w:rPr>
          <w:rFonts w:ascii="Arial" w:hAnsi="Arial" w:cs="Arial"/>
          <w:color w:val="3B3B3B"/>
          <w:sz w:val="20"/>
        </w:rPr>
        <w:t xml:space="preserve"> – средний уровень заработной платы в каждой группе работников</w:t>
      </w:r>
    </w:p>
    <w:p w:rsidR="007015C8" w:rsidRDefault="007015C8" w:rsidP="007015C8">
      <w:pPr>
        <w:pStyle w:val="ab"/>
        <w:ind w:left="851" w:right="283"/>
        <w:rPr>
          <w:rFonts w:ascii="Arial" w:hAnsi="Arial" w:cs="Arial"/>
          <w:color w:val="3B3B3B"/>
          <w:sz w:val="20"/>
        </w:rPr>
      </w:pPr>
      <w:r w:rsidRPr="00FA50C0">
        <w:rPr>
          <w:rFonts w:ascii="Arial" w:hAnsi="Arial" w:cs="Arial"/>
          <w:b/>
          <w:color w:val="3B3B3B"/>
          <w:sz w:val="20"/>
        </w:rPr>
        <w:t>Удельный вес работников, получающий соответствующий уровень заработной</w:t>
      </w:r>
      <w:r w:rsidRPr="00FA50C0">
        <w:rPr>
          <w:rFonts w:ascii="Arial" w:hAnsi="Arial" w:cs="Arial"/>
          <w:color w:val="3B3B3B"/>
          <w:sz w:val="20"/>
        </w:rPr>
        <w:t xml:space="preserve"> </w:t>
      </w:r>
      <w:r w:rsidRPr="00FA50C0">
        <w:rPr>
          <w:rFonts w:ascii="Arial" w:hAnsi="Arial" w:cs="Arial"/>
          <w:b/>
          <w:color w:val="3B3B3B"/>
          <w:sz w:val="20"/>
        </w:rPr>
        <w:t xml:space="preserve">платы </w:t>
      </w:r>
      <w:r>
        <w:rPr>
          <w:rFonts w:ascii="Arial" w:hAnsi="Arial" w:cs="Arial"/>
          <w:color w:val="3B3B3B"/>
          <w:sz w:val="20"/>
        </w:rPr>
        <w:t xml:space="preserve">– данные Росстата </w:t>
      </w:r>
      <w:r w:rsidRPr="00EE1095">
        <w:rPr>
          <w:rFonts w:ascii="Arial" w:hAnsi="Arial" w:cs="Arial"/>
          <w:b/>
          <w:color w:val="3B3B3B"/>
          <w:sz w:val="20"/>
        </w:rPr>
        <w:t>(см. Таблицу 1)</w:t>
      </w:r>
    </w:p>
    <w:p w:rsidR="007015C8" w:rsidRPr="00FA50C0" w:rsidRDefault="007015C8" w:rsidP="007015C8">
      <w:pPr>
        <w:pStyle w:val="ab"/>
        <w:ind w:left="851" w:right="283"/>
        <w:rPr>
          <w:rFonts w:ascii="Arial" w:hAnsi="Arial" w:cs="Arial"/>
          <w:color w:val="3B3B3B"/>
          <w:sz w:val="20"/>
        </w:rPr>
      </w:pPr>
      <w:r w:rsidRPr="00FA50C0">
        <w:rPr>
          <w:rFonts w:ascii="Arial" w:hAnsi="Arial" w:cs="Arial"/>
          <w:b/>
          <w:color w:val="3B3B3B"/>
          <w:sz w:val="20"/>
        </w:rPr>
        <w:t>Кумулятивный ряд численности работников</w:t>
      </w:r>
      <w:r>
        <w:rPr>
          <w:rFonts w:ascii="Arial" w:hAnsi="Arial" w:cs="Arial"/>
          <w:color w:val="3B3B3B"/>
          <w:sz w:val="20"/>
        </w:rPr>
        <w:t xml:space="preserve"> – накопленные частоты. Для того чтобы вычислить значение </w:t>
      </w:r>
      <w:proofErr w:type="spellStart"/>
      <w:r>
        <w:rPr>
          <w:rFonts w:ascii="Arial" w:hAnsi="Arial" w:cs="Arial"/>
          <w:color w:val="3B3B3B"/>
          <w:sz w:val="20"/>
          <w:lang w:val="en-US"/>
        </w:rPr>
        <w:t>i</w:t>
      </w:r>
      <w:proofErr w:type="spellEnd"/>
      <w:r>
        <w:rPr>
          <w:rFonts w:ascii="Arial" w:hAnsi="Arial" w:cs="Arial"/>
          <w:color w:val="3B3B3B"/>
          <w:sz w:val="20"/>
        </w:rPr>
        <w:t>-ряда</w:t>
      </w:r>
      <w:r w:rsidR="000820D5">
        <w:rPr>
          <w:rFonts w:ascii="Arial" w:hAnsi="Arial" w:cs="Arial"/>
          <w:color w:val="3B3B3B"/>
          <w:sz w:val="20"/>
        </w:rPr>
        <w:t>,</w:t>
      </w:r>
      <w:r>
        <w:rPr>
          <w:rFonts w:ascii="Arial" w:hAnsi="Arial" w:cs="Arial"/>
          <w:color w:val="3B3B3B"/>
          <w:sz w:val="20"/>
        </w:rPr>
        <w:t xml:space="preserve"> необходимо просуммировать удельные веса работников </w:t>
      </w:r>
      <w:r w:rsidRPr="000820D5">
        <w:rPr>
          <w:rFonts w:ascii="Arial" w:hAnsi="Arial" w:cs="Arial"/>
          <w:b/>
          <w:color w:val="3B3B3B"/>
          <w:sz w:val="20"/>
        </w:rPr>
        <w:t xml:space="preserve">(столбец 3 </w:t>
      </w:r>
      <w:r w:rsidR="000820D5" w:rsidRPr="000820D5">
        <w:rPr>
          <w:rFonts w:ascii="Arial" w:hAnsi="Arial" w:cs="Arial"/>
          <w:b/>
          <w:color w:val="3B3B3B"/>
          <w:sz w:val="20"/>
        </w:rPr>
        <w:t>Т</w:t>
      </w:r>
      <w:r w:rsidRPr="000820D5">
        <w:rPr>
          <w:rFonts w:ascii="Arial" w:hAnsi="Arial" w:cs="Arial"/>
          <w:b/>
          <w:color w:val="3B3B3B"/>
          <w:sz w:val="20"/>
        </w:rPr>
        <w:t>аблицы 2)</w:t>
      </w:r>
      <w:r>
        <w:rPr>
          <w:rFonts w:ascii="Arial" w:hAnsi="Arial" w:cs="Arial"/>
          <w:color w:val="3B3B3B"/>
          <w:sz w:val="20"/>
        </w:rPr>
        <w:t xml:space="preserve"> от 1 до </w:t>
      </w:r>
      <w:proofErr w:type="spellStart"/>
      <w:r>
        <w:rPr>
          <w:rFonts w:ascii="Arial" w:hAnsi="Arial" w:cs="Arial"/>
          <w:color w:val="3B3B3B"/>
          <w:sz w:val="20"/>
          <w:lang w:val="en-US"/>
        </w:rPr>
        <w:t>i</w:t>
      </w:r>
      <w:proofErr w:type="spellEnd"/>
      <w:r w:rsidR="00940BB9">
        <w:rPr>
          <w:rFonts w:ascii="Arial" w:hAnsi="Arial" w:cs="Arial"/>
          <w:color w:val="3B3B3B"/>
          <w:sz w:val="20"/>
        </w:rPr>
        <w:t xml:space="preserve"> включительно.</w:t>
      </w:r>
    </w:p>
    <w:p w:rsidR="007015C8" w:rsidRDefault="007015C8" w:rsidP="007015C8">
      <w:pPr>
        <w:pStyle w:val="ab"/>
        <w:ind w:left="851" w:right="283"/>
        <w:rPr>
          <w:rFonts w:ascii="Arial" w:hAnsi="Arial" w:cs="Arial"/>
          <w:b/>
          <w:color w:val="3B3B3B"/>
          <w:sz w:val="20"/>
        </w:rPr>
      </w:pPr>
      <w:r w:rsidRPr="00FA50C0">
        <w:rPr>
          <w:rFonts w:ascii="Arial" w:hAnsi="Arial" w:cs="Arial"/>
          <w:b/>
          <w:color w:val="3B3B3B"/>
          <w:sz w:val="20"/>
        </w:rPr>
        <w:t>Групповые доходы, процентные числа</w:t>
      </w:r>
      <w:r w:rsidRPr="00F47CD4">
        <w:rPr>
          <w:rFonts w:ascii="Arial" w:hAnsi="Arial" w:cs="Arial"/>
          <w:color w:val="3B3B3B"/>
          <w:sz w:val="20"/>
        </w:rPr>
        <w:t xml:space="preserve"> </w:t>
      </w:r>
      <w:r w:rsidRPr="00FA50C0">
        <w:rPr>
          <w:rFonts w:ascii="Arial" w:hAnsi="Arial" w:cs="Arial"/>
          <w:color w:val="3B3B3B"/>
          <w:sz w:val="20"/>
        </w:rPr>
        <w:t>–</w:t>
      </w:r>
      <w:r>
        <w:rPr>
          <w:rFonts w:ascii="Arial" w:hAnsi="Arial" w:cs="Arial"/>
          <w:color w:val="3B3B3B"/>
          <w:sz w:val="20"/>
        </w:rPr>
        <w:t xml:space="preserve"> расчетные данные, используемые для определения удельного веса дохода той или иной группы работников в общем доходе. Вычисляются умножением с</w:t>
      </w:r>
      <w:r w:rsidR="000820D5">
        <w:rPr>
          <w:rFonts w:ascii="Arial" w:hAnsi="Arial" w:cs="Arial"/>
          <w:color w:val="3B3B3B"/>
          <w:sz w:val="20"/>
        </w:rPr>
        <w:t>е</w:t>
      </w:r>
      <w:r>
        <w:rPr>
          <w:rFonts w:ascii="Arial" w:hAnsi="Arial" w:cs="Arial"/>
          <w:color w:val="3B3B3B"/>
          <w:sz w:val="20"/>
        </w:rPr>
        <w:t>редины</w:t>
      </w:r>
      <w:r w:rsidRPr="00FA50C0">
        <w:rPr>
          <w:rFonts w:ascii="Arial" w:hAnsi="Arial" w:cs="Arial"/>
          <w:color w:val="3B3B3B"/>
          <w:sz w:val="20"/>
        </w:rPr>
        <w:t xml:space="preserve"> интервала</w:t>
      </w:r>
      <w:r>
        <w:rPr>
          <w:rFonts w:ascii="Arial" w:hAnsi="Arial" w:cs="Arial"/>
          <w:color w:val="3B3B3B"/>
          <w:sz w:val="20"/>
        </w:rPr>
        <w:t xml:space="preserve"> на</w:t>
      </w:r>
      <w:r w:rsidRPr="00FA50C0">
        <w:rPr>
          <w:rFonts w:ascii="Arial" w:hAnsi="Arial" w:cs="Arial"/>
          <w:color w:val="3B3B3B"/>
          <w:sz w:val="20"/>
        </w:rPr>
        <w:t xml:space="preserve"> удельный вес </w:t>
      </w:r>
      <w:r w:rsidRPr="00F47CD4">
        <w:rPr>
          <w:rFonts w:ascii="Arial" w:hAnsi="Arial" w:cs="Arial"/>
          <w:color w:val="3B3B3B"/>
          <w:sz w:val="20"/>
        </w:rPr>
        <w:t>(столбец 2 умножить на столбец 3</w:t>
      </w:r>
      <w:r w:rsidRPr="00FA50C0">
        <w:rPr>
          <w:rFonts w:ascii="Arial" w:hAnsi="Arial" w:cs="Arial"/>
          <w:color w:val="3B3B3B"/>
          <w:sz w:val="20"/>
        </w:rPr>
        <w:t>).</w:t>
      </w:r>
    </w:p>
    <w:p w:rsidR="007015C8" w:rsidRPr="000820D5" w:rsidRDefault="007015C8" w:rsidP="007015C8">
      <w:pPr>
        <w:pStyle w:val="ab"/>
        <w:ind w:left="851" w:right="283"/>
        <w:rPr>
          <w:rFonts w:ascii="Arial" w:hAnsi="Arial" w:cs="Arial"/>
          <w:color w:val="3B3B3B"/>
          <w:sz w:val="20"/>
        </w:rPr>
      </w:pPr>
      <w:r w:rsidRPr="00FA50C0">
        <w:rPr>
          <w:rFonts w:ascii="Arial" w:hAnsi="Arial" w:cs="Arial"/>
          <w:b/>
          <w:color w:val="3B3B3B"/>
          <w:sz w:val="20"/>
        </w:rPr>
        <w:t>Удельный вес в общем доходе</w:t>
      </w:r>
      <w:r>
        <w:rPr>
          <w:rFonts w:ascii="Arial" w:hAnsi="Arial" w:cs="Arial"/>
          <w:b/>
          <w:color w:val="3B3B3B"/>
          <w:sz w:val="20"/>
        </w:rPr>
        <w:t xml:space="preserve"> – </w:t>
      </w:r>
      <w:r w:rsidRPr="00FA50C0">
        <w:rPr>
          <w:rFonts w:ascii="Arial" w:hAnsi="Arial" w:cs="Arial"/>
          <w:color w:val="3B3B3B"/>
          <w:sz w:val="20"/>
        </w:rPr>
        <w:t>доля доходов той или иной группы сотрудников в общем доходе</w:t>
      </w:r>
      <w:r>
        <w:rPr>
          <w:rFonts w:ascii="Arial" w:hAnsi="Arial" w:cs="Arial"/>
          <w:color w:val="3B3B3B"/>
          <w:sz w:val="20"/>
        </w:rPr>
        <w:t>. Отношение групповых доходов (</w:t>
      </w:r>
      <w:r w:rsidRPr="000820D5">
        <w:rPr>
          <w:rFonts w:ascii="Arial" w:hAnsi="Arial" w:cs="Arial"/>
          <w:color w:val="3B3B3B"/>
          <w:sz w:val="20"/>
        </w:rPr>
        <w:t>столбец 5</w:t>
      </w:r>
      <w:r>
        <w:rPr>
          <w:rFonts w:ascii="Arial" w:hAnsi="Arial" w:cs="Arial"/>
          <w:color w:val="3B3B3B"/>
          <w:sz w:val="20"/>
        </w:rPr>
        <w:t xml:space="preserve">) к сумме всех доходов </w:t>
      </w:r>
      <w:r w:rsidRPr="000820D5">
        <w:rPr>
          <w:rFonts w:ascii="Arial" w:hAnsi="Arial" w:cs="Arial"/>
          <w:color w:val="3B3B3B"/>
          <w:sz w:val="20"/>
        </w:rPr>
        <w:t>(сумма доходов по столбцу 5</w:t>
      </w:r>
      <w:r>
        <w:rPr>
          <w:rFonts w:ascii="Arial" w:hAnsi="Arial" w:cs="Arial"/>
          <w:color w:val="3B3B3B"/>
          <w:sz w:val="20"/>
        </w:rPr>
        <w:t xml:space="preserve">). </w:t>
      </w:r>
    </w:p>
    <w:p w:rsidR="007015C8" w:rsidRDefault="007015C8" w:rsidP="007015C8">
      <w:pPr>
        <w:pStyle w:val="ab"/>
        <w:ind w:left="851" w:right="283"/>
        <w:rPr>
          <w:rFonts w:ascii="Arial" w:hAnsi="Arial" w:cs="Arial"/>
          <w:color w:val="3B3B3B"/>
          <w:sz w:val="20"/>
        </w:rPr>
      </w:pPr>
      <w:r w:rsidRPr="00FA50C0">
        <w:rPr>
          <w:rFonts w:ascii="Arial" w:hAnsi="Arial" w:cs="Arial"/>
          <w:b/>
          <w:color w:val="3B3B3B"/>
          <w:sz w:val="20"/>
        </w:rPr>
        <w:t>Кумулятивный ряд доходов</w:t>
      </w:r>
      <w:r>
        <w:rPr>
          <w:rFonts w:ascii="Arial" w:hAnsi="Arial" w:cs="Arial"/>
          <w:color w:val="3B3B3B"/>
          <w:sz w:val="20"/>
        </w:rPr>
        <w:t xml:space="preserve"> – сумма удельных весов доходов до соответствующей группы.</w:t>
      </w:r>
    </w:p>
    <w:p w:rsidR="007015C8" w:rsidRPr="007F723B" w:rsidRDefault="007015C8" w:rsidP="007015C8">
      <w:pPr>
        <w:pStyle w:val="ab"/>
        <w:ind w:left="851" w:right="283"/>
        <w:rPr>
          <w:rFonts w:ascii="Arial" w:hAnsi="Arial" w:cs="Arial"/>
          <w:color w:val="3B3B3B"/>
          <w:sz w:val="20"/>
        </w:rPr>
      </w:pPr>
      <w:r w:rsidRPr="007F723B">
        <w:rPr>
          <w:rFonts w:ascii="Arial" w:hAnsi="Arial" w:cs="Arial"/>
          <w:color w:val="3B3B3B"/>
          <w:sz w:val="20"/>
        </w:rPr>
        <w:t xml:space="preserve">Построим диаграмму, где по оси Х будет отложен кумулятивный ряд численности работников, а по оси </w:t>
      </w:r>
      <w:r w:rsidRPr="007F723B">
        <w:rPr>
          <w:rFonts w:ascii="Arial" w:hAnsi="Arial" w:cs="Arial"/>
          <w:color w:val="3B3B3B"/>
          <w:sz w:val="20"/>
          <w:lang w:val="en-US"/>
        </w:rPr>
        <w:t>Y</w:t>
      </w:r>
      <w:r w:rsidRPr="007F723B">
        <w:rPr>
          <w:rFonts w:ascii="Arial" w:hAnsi="Arial" w:cs="Arial"/>
          <w:color w:val="3B3B3B"/>
          <w:sz w:val="20"/>
        </w:rPr>
        <w:t xml:space="preserve"> – </w:t>
      </w:r>
      <w:r>
        <w:rPr>
          <w:rFonts w:ascii="Arial" w:hAnsi="Arial" w:cs="Arial"/>
          <w:color w:val="3B3B3B"/>
          <w:sz w:val="20"/>
        </w:rPr>
        <w:t xml:space="preserve">кумулятивный ряд доходов. </w:t>
      </w:r>
    </w:p>
    <w:p w:rsidR="007015C8" w:rsidRPr="00321F2D" w:rsidRDefault="007015C8" w:rsidP="007015C8">
      <w:pPr>
        <w:pStyle w:val="ab"/>
        <w:ind w:left="851" w:right="283"/>
        <w:rPr>
          <w:rFonts w:ascii="Arial" w:hAnsi="Arial" w:cs="Arial"/>
          <w:b/>
          <w:color w:val="3B3B3B"/>
          <w:sz w:val="16"/>
          <w:szCs w:val="16"/>
        </w:rPr>
      </w:pPr>
      <w:r w:rsidRPr="00321F2D">
        <w:rPr>
          <w:rFonts w:ascii="Arial" w:hAnsi="Arial" w:cs="Arial"/>
          <w:b/>
          <w:color w:val="3B3B3B"/>
          <w:sz w:val="16"/>
          <w:szCs w:val="16"/>
        </w:rPr>
        <w:t>Диаграмма 4. Ди</w:t>
      </w:r>
      <w:r w:rsidR="000820D5">
        <w:rPr>
          <w:rFonts w:ascii="Arial" w:hAnsi="Arial" w:cs="Arial"/>
          <w:b/>
          <w:color w:val="3B3B3B"/>
          <w:sz w:val="16"/>
          <w:szCs w:val="16"/>
        </w:rPr>
        <w:t>фференциация доходов в отрасли с</w:t>
      </w:r>
      <w:r w:rsidRPr="00321F2D">
        <w:rPr>
          <w:rFonts w:ascii="Arial" w:hAnsi="Arial" w:cs="Arial"/>
          <w:b/>
          <w:color w:val="3B3B3B"/>
          <w:sz w:val="16"/>
          <w:szCs w:val="16"/>
        </w:rPr>
        <w:t>ельское хозяйство, охота и лесное хозяйство</w:t>
      </w:r>
    </w:p>
    <w:p w:rsidR="007015C8" w:rsidRDefault="007015C8" w:rsidP="007015C8">
      <w:pPr>
        <w:pStyle w:val="ab"/>
        <w:ind w:left="851" w:right="283"/>
        <w:jc w:val="center"/>
        <w:rPr>
          <w:rFonts w:ascii="Arial" w:hAnsi="Arial" w:cs="Arial"/>
          <w:color w:val="3B3B3B"/>
          <w:sz w:val="20"/>
        </w:rPr>
      </w:pPr>
      <w:r>
        <w:rPr>
          <w:noProof/>
        </w:rPr>
        <w:drawing>
          <wp:inline distT="0" distB="0" distL="0" distR="0">
            <wp:extent cx="3067050" cy="20478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15C8" w:rsidRDefault="007015C8" w:rsidP="007015C8">
      <w:pPr>
        <w:pStyle w:val="ab"/>
        <w:ind w:left="851" w:right="283"/>
        <w:rPr>
          <w:rFonts w:ascii="Arial" w:hAnsi="Arial" w:cs="Arial"/>
          <w:color w:val="3B3B3B"/>
          <w:sz w:val="20"/>
        </w:rPr>
      </w:pPr>
      <w:r>
        <w:rPr>
          <w:rFonts w:ascii="Arial" w:hAnsi="Arial" w:cs="Arial"/>
          <w:color w:val="3B3B3B"/>
          <w:sz w:val="20"/>
        </w:rPr>
        <w:t>Площадь фигуры под фиолетовой линией можно высчитать, просуммировав площади трапеций, из которых фигура состоит. И</w:t>
      </w:r>
      <w:r w:rsidR="00F47CD4">
        <w:rPr>
          <w:rFonts w:ascii="Arial" w:hAnsi="Arial" w:cs="Arial"/>
          <w:color w:val="3B3B3B"/>
          <w:sz w:val="20"/>
        </w:rPr>
        <w:t>х суммарная площадь равна 3313.</w:t>
      </w:r>
    </w:p>
    <w:p w:rsidR="007015C8" w:rsidRDefault="007015C8" w:rsidP="007015C8">
      <w:pPr>
        <w:pStyle w:val="ab"/>
        <w:ind w:left="851" w:right="283"/>
        <w:rPr>
          <w:rFonts w:ascii="Arial" w:hAnsi="Arial" w:cs="Arial"/>
          <w:color w:val="3B3B3B"/>
          <w:sz w:val="20"/>
        </w:rPr>
      </w:pPr>
      <w:r>
        <w:rPr>
          <w:rFonts w:ascii="Arial" w:hAnsi="Arial" w:cs="Arial"/>
          <w:color w:val="3B3B3B"/>
          <w:sz w:val="20"/>
        </w:rPr>
        <w:lastRenderedPageBreak/>
        <w:t>Площадь фигуры при абсолютно равномерном распределении доходов равна 5</w:t>
      </w:r>
      <w:r w:rsidR="000820D5">
        <w:rPr>
          <w:rFonts w:ascii="Arial" w:hAnsi="Arial" w:cs="Arial"/>
          <w:color w:val="3B3B3B"/>
          <w:sz w:val="20"/>
        </w:rPr>
        <w:t xml:space="preserve">000 (треугольник </w:t>
      </w:r>
      <w:proofErr w:type="gramStart"/>
      <w:r w:rsidR="000820D5">
        <w:rPr>
          <w:rFonts w:ascii="Arial" w:hAnsi="Arial" w:cs="Arial"/>
          <w:color w:val="3B3B3B"/>
          <w:sz w:val="20"/>
        </w:rPr>
        <w:t>под</w:t>
      </w:r>
      <w:proofErr w:type="gramEnd"/>
      <w:r w:rsidR="000820D5">
        <w:rPr>
          <w:rFonts w:ascii="Arial" w:hAnsi="Arial" w:cs="Arial"/>
          <w:color w:val="3B3B3B"/>
          <w:sz w:val="20"/>
        </w:rPr>
        <w:t xml:space="preserve"> прямой на </w:t>
      </w:r>
      <w:r w:rsidR="000820D5" w:rsidRPr="000820D5">
        <w:rPr>
          <w:rFonts w:ascii="Arial" w:hAnsi="Arial" w:cs="Arial"/>
          <w:b/>
          <w:color w:val="3B3B3B"/>
          <w:sz w:val="20"/>
        </w:rPr>
        <w:t>Д</w:t>
      </w:r>
      <w:r w:rsidRPr="000820D5">
        <w:rPr>
          <w:rFonts w:ascii="Arial" w:hAnsi="Arial" w:cs="Arial"/>
          <w:b/>
          <w:color w:val="3B3B3B"/>
          <w:sz w:val="20"/>
        </w:rPr>
        <w:t>иаграмме 2</w:t>
      </w:r>
      <w:r>
        <w:rPr>
          <w:rFonts w:ascii="Arial" w:hAnsi="Arial" w:cs="Arial"/>
          <w:color w:val="3B3B3B"/>
          <w:sz w:val="20"/>
        </w:rPr>
        <w:t>).</w:t>
      </w:r>
    </w:p>
    <w:p w:rsidR="007015C8" w:rsidRDefault="007015C8" w:rsidP="007015C8">
      <w:pPr>
        <w:pStyle w:val="ab"/>
        <w:ind w:left="851" w:right="283"/>
        <w:rPr>
          <w:rFonts w:ascii="Arial" w:hAnsi="Arial" w:cs="Arial"/>
          <w:color w:val="3B3B3B"/>
          <w:sz w:val="20"/>
        </w:rPr>
      </w:pPr>
      <w:r>
        <w:rPr>
          <w:rFonts w:ascii="Arial" w:hAnsi="Arial" w:cs="Arial"/>
          <w:color w:val="3B3B3B"/>
          <w:sz w:val="20"/>
        </w:rPr>
        <w:t>Таким образом, площадь фигуры, отражающей неравенство распределения</w:t>
      </w:r>
      <w:r w:rsidR="00321F2D">
        <w:rPr>
          <w:rFonts w:ascii="Arial" w:hAnsi="Arial" w:cs="Arial"/>
          <w:color w:val="3B3B3B"/>
          <w:sz w:val="20"/>
        </w:rPr>
        <w:t xml:space="preserve"> доходов, равна 5000-3313=1687.</w:t>
      </w:r>
    </w:p>
    <w:p w:rsidR="007015C8" w:rsidRDefault="007015C8" w:rsidP="007015C8">
      <w:pPr>
        <w:pStyle w:val="ab"/>
        <w:ind w:left="851" w:right="283"/>
        <w:rPr>
          <w:rFonts w:ascii="Arial" w:hAnsi="Arial" w:cs="Arial"/>
          <w:color w:val="3B3B3B"/>
          <w:sz w:val="20"/>
        </w:rPr>
      </w:pPr>
      <w:r>
        <w:rPr>
          <w:rFonts w:ascii="Arial" w:hAnsi="Arial" w:cs="Arial"/>
          <w:color w:val="3B3B3B"/>
          <w:sz w:val="20"/>
        </w:rPr>
        <w:t xml:space="preserve">Следовательно, коэффициент Джини для отрасли </w:t>
      </w:r>
      <w:r w:rsidR="006E4A24">
        <w:rPr>
          <w:rFonts w:ascii="Arial" w:hAnsi="Arial" w:cs="Arial"/>
          <w:i/>
          <w:color w:val="3B3B3B"/>
          <w:sz w:val="20"/>
        </w:rPr>
        <w:t>с</w:t>
      </w:r>
      <w:r w:rsidRPr="00855847">
        <w:rPr>
          <w:rFonts w:ascii="Arial" w:hAnsi="Arial" w:cs="Arial"/>
          <w:i/>
          <w:color w:val="3B3B3B"/>
          <w:sz w:val="20"/>
        </w:rPr>
        <w:t>ельское хозяйство, охота и лесное хозяйство</w:t>
      </w:r>
      <w:r>
        <w:rPr>
          <w:rFonts w:ascii="Arial" w:hAnsi="Arial" w:cs="Arial"/>
          <w:color w:val="3B3B3B"/>
          <w:sz w:val="20"/>
        </w:rPr>
        <w:t xml:space="preserve"> равен 1687/5000=0,337</w:t>
      </w:r>
    </w:p>
    <w:p w:rsidR="007015C8" w:rsidRPr="007C3307" w:rsidRDefault="007015C8" w:rsidP="007015C8">
      <w:pPr>
        <w:pStyle w:val="ab"/>
        <w:ind w:left="851" w:right="283"/>
        <w:rPr>
          <w:rFonts w:ascii="Arial" w:hAnsi="Arial" w:cs="Arial"/>
          <w:b/>
          <w:color w:val="3B3B3B"/>
          <w:sz w:val="22"/>
          <w:szCs w:val="22"/>
        </w:rPr>
      </w:pPr>
      <w:r w:rsidRPr="007C3307">
        <w:rPr>
          <w:rFonts w:ascii="Arial" w:hAnsi="Arial" w:cs="Arial"/>
          <w:b/>
          <w:color w:val="3B3B3B"/>
          <w:sz w:val="22"/>
          <w:szCs w:val="22"/>
        </w:rPr>
        <w:t xml:space="preserve">Коэффициент Джини для </w:t>
      </w:r>
      <w:r>
        <w:rPr>
          <w:rFonts w:ascii="Arial" w:hAnsi="Arial" w:cs="Arial"/>
          <w:b/>
          <w:color w:val="3B3B3B"/>
          <w:sz w:val="22"/>
          <w:szCs w:val="22"/>
        </w:rPr>
        <w:t xml:space="preserve">других </w:t>
      </w:r>
      <w:r w:rsidRPr="007C3307">
        <w:rPr>
          <w:rFonts w:ascii="Arial" w:hAnsi="Arial" w:cs="Arial"/>
          <w:b/>
          <w:color w:val="3B3B3B"/>
          <w:sz w:val="22"/>
          <w:szCs w:val="22"/>
        </w:rPr>
        <w:t>отраслей экономики</w:t>
      </w:r>
    </w:p>
    <w:p w:rsidR="007015C8" w:rsidRDefault="006E4A24" w:rsidP="007015C8">
      <w:pPr>
        <w:pStyle w:val="ab"/>
        <w:ind w:left="851" w:right="283"/>
        <w:rPr>
          <w:rFonts w:ascii="Arial" w:hAnsi="Arial" w:cs="Arial"/>
          <w:color w:val="3B3B3B"/>
          <w:sz w:val="20"/>
        </w:rPr>
      </w:pPr>
      <w:r>
        <w:rPr>
          <w:rFonts w:ascii="Arial" w:hAnsi="Arial" w:cs="Arial"/>
          <w:color w:val="3B3B3B"/>
          <w:sz w:val="20"/>
        </w:rPr>
        <w:t>По</w:t>
      </w:r>
      <w:r w:rsidR="007015C8">
        <w:rPr>
          <w:rFonts w:ascii="Arial" w:hAnsi="Arial" w:cs="Arial"/>
          <w:color w:val="3B3B3B"/>
          <w:sz w:val="20"/>
        </w:rPr>
        <w:t xml:space="preserve"> </w:t>
      </w:r>
      <w:r>
        <w:rPr>
          <w:rFonts w:ascii="Arial" w:hAnsi="Arial" w:cs="Arial"/>
          <w:color w:val="3B3B3B"/>
          <w:sz w:val="20"/>
        </w:rPr>
        <w:t xml:space="preserve">такому же </w:t>
      </w:r>
      <w:r w:rsidR="007015C8">
        <w:rPr>
          <w:rFonts w:ascii="Arial" w:hAnsi="Arial" w:cs="Arial"/>
          <w:color w:val="3B3B3B"/>
          <w:sz w:val="20"/>
        </w:rPr>
        <w:t xml:space="preserve">образцу рассчитаем значения коэффициента Джини для всех 17 отраслей экономики, которые учитывает Росстат. </w:t>
      </w:r>
    </w:p>
    <w:p w:rsidR="007015C8" w:rsidRPr="00321F2D" w:rsidRDefault="007015C8" w:rsidP="007015C8">
      <w:pPr>
        <w:pStyle w:val="ab"/>
        <w:ind w:left="851" w:right="283"/>
        <w:rPr>
          <w:rFonts w:ascii="Arial" w:hAnsi="Arial" w:cs="Arial"/>
          <w:b/>
          <w:color w:val="3B3B3B"/>
          <w:sz w:val="16"/>
          <w:szCs w:val="16"/>
        </w:rPr>
      </w:pPr>
      <w:r w:rsidRPr="00321F2D">
        <w:rPr>
          <w:rFonts w:ascii="Arial" w:hAnsi="Arial" w:cs="Arial"/>
          <w:b/>
          <w:color w:val="3B3B3B"/>
          <w:sz w:val="16"/>
          <w:szCs w:val="16"/>
        </w:rPr>
        <w:t>Таблица 3. Коэффициент Джини для отраслей экономики в</w:t>
      </w:r>
      <w:r w:rsidR="00321F2D">
        <w:rPr>
          <w:rFonts w:ascii="Arial" w:hAnsi="Arial" w:cs="Arial"/>
          <w:b/>
          <w:color w:val="3B3B3B"/>
          <w:sz w:val="16"/>
          <w:szCs w:val="16"/>
        </w:rPr>
        <w:t xml:space="preserve"> 2015 году</w:t>
      </w:r>
    </w:p>
    <w:tbl>
      <w:tblPr>
        <w:tblW w:w="10695" w:type="dxa"/>
        <w:jc w:val="center"/>
        <w:tblLook w:val="04A0"/>
      </w:tblPr>
      <w:tblGrid>
        <w:gridCol w:w="617"/>
        <w:gridCol w:w="617"/>
        <w:gridCol w:w="617"/>
        <w:gridCol w:w="617"/>
        <w:gridCol w:w="617"/>
        <w:gridCol w:w="617"/>
        <w:gridCol w:w="680"/>
        <w:gridCol w:w="617"/>
        <w:gridCol w:w="617"/>
        <w:gridCol w:w="617"/>
        <w:gridCol w:w="617"/>
        <w:gridCol w:w="617"/>
        <w:gridCol w:w="892"/>
        <w:gridCol w:w="617"/>
        <w:gridCol w:w="617"/>
        <w:gridCol w:w="617"/>
        <w:gridCol w:w="617"/>
      </w:tblGrid>
      <w:tr w:rsidR="007015C8" w:rsidRPr="00991D43" w:rsidTr="008435A5">
        <w:trPr>
          <w:trHeight w:val="3555"/>
          <w:jc w:val="center"/>
        </w:trPr>
        <w:tc>
          <w:tcPr>
            <w:tcW w:w="617"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Сельское хозяйство, охота и лесное хозяйство</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Рыболовство, рыбоводство</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Добыча полезных ископаемых</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Обрабатывающие производства</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Производство и распределение электроэнергии, газа и воды</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Строительство</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Оптовая и розничная торговля, ремонт автотранспортных средств и мотоциклов</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Гостиницы и рестораны</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Транспорт и связь</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Финансовая деятельность</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Операции с недвижимым имуществом, аренда и предоставление услуг</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Научные исследования и разработки</w:t>
            </w:r>
          </w:p>
        </w:tc>
        <w:tc>
          <w:tcPr>
            <w:tcW w:w="89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Государственное управление, обязательное социальное обеспечение, деятельность экстерриториальных организаций</w:t>
            </w:r>
          </w:p>
        </w:tc>
        <w:tc>
          <w:tcPr>
            <w:tcW w:w="485"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Образование</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Здравоохранение и предоставление социальных услуг</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7C3307">
              <w:rPr>
                <w:rFonts w:ascii="Arial" w:eastAsia="Times New Roman" w:hAnsi="Arial" w:cs="Arial"/>
                <w:b/>
                <w:bCs/>
                <w:color w:val="404040" w:themeColor="text1" w:themeTint="BF"/>
                <w:sz w:val="16"/>
                <w:szCs w:val="16"/>
                <w:lang w:eastAsia="ru-RU"/>
              </w:rPr>
              <w:t>Предоставление коммунальных, персональных и социальных услуг</w:t>
            </w:r>
          </w:p>
        </w:tc>
        <w:tc>
          <w:tcPr>
            <w:tcW w:w="6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7015C8" w:rsidRPr="007C3307"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991D43">
              <w:rPr>
                <w:rFonts w:ascii="Arial" w:eastAsia="Times New Roman" w:hAnsi="Arial" w:cs="Arial"/>
                <w:b/>
                <w:bCs/>
                <w:color w:val="404040" w:themeColor="text1" w:themeTint="BF"/>
                <w:sz w:val="16"/>
                <w:szCs w:val="16"/>
                <w:lang w:eastAsia="ru-RU"/>
              </w:rPr>
              <w:t>Д</w:t>
            </w:r>
            <w:r w:rsidRPr="007C3307">
              <w:rPr>
                <w:rFonts w:ascii="Arial" w:eastAsia="Times New Roman" w:hAnsi="Arial" w:cs="Arial"/>
                <w:b/>
                <w:bCs/>
                <w:color w:val="404040" w:themeColor="text1" w:themeTint="BF"/>
                <w:sz w:val="16"/>
                <w:szCs w:val="16"/>
                <w:lang w:eastAsia="ru-RU"/>
              </w:rPr>
              <w:t>еятельность по организации отдыха, развлечений, культуры и спорта</w:t>
            </w:r>
          </w:p>
        </w:tc>
      </w:tr>
      <w:tr w:rsidR="007015C8" w:rsidRPr="00991D43" w:rsidTr="008435A5">
        <w:trPr>
          <w:trHeight w:val="255"/>
          <w:jc w:val="center"/>
        </w:trPr>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0,337</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0,486</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0,314</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0,331</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0,343</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0,355</w:t>
            </w:r>
          </w:p>
        </w:tc>
        <w:tc>
          <w:tcPr>
            <w:tcW w:w="680"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0,395</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0,378</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0,362</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0,355</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0,402</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0,334</w:t>
            </w:r>
          </w:p>
        </w:tc>
        <w:tc>
          <w:tcPr>
            <w:tcW w:w="892"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0,349</w:t>
            </w:r>
          </w:p>
        </w:tc>
        <w:tc>
          <w:tcPr>
            <w:tcW w:w="485"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0,384</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0,368</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0,412</w:t>
            </w:r>
          </w:p>
        </w:tc>
        <w:tc>
          <w:tcPr>
            <w:tcW w:w="617" w:type="dxa"/>
            <w:tcBorders>
              <w:top w:val="nil"/>
              <w:left w:val="nil"/>
              <w:bottom w:val="single" w:sz="4" w:space="0" w:color="auto"/>
              <w:right w:val="single" w:sz="4" w:space="0" w:color="auto"/>
            </w:tcBorders>
            <w:shd w:val="clear" w:color="auto" w:fill="auto"/>
            <w:noWrap/>
            <w:vAlign w:val="center"/>
            <w:hideMark/>
          </w:tcPr>
          <w:p w:rsidR="007015C8" w:rsidRPr="007C3307"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7C3307">
              <w:rPr>
                <w:rFonts w:ascii="Arial" w:eastAsia="Times New Roman" w:hAnsi="Arial" w:cs="Arial"/>
                <w:color w:val="404040" w:themeColor="text1" w:themeTint="BF"/>
                <w:sz w:val="16"/>
                <w:szCs w:val="16"/>
                <w:lang w:eastAsia="ru-RU"/>
              </w:rPr>
              <w:t>0,417</w:t>
            </w:r>
          </w:p>
        </w:tc>
      </w:tr>
    </w:tbl>
    <w:p w:rsidR="007015C8" w:rsidRDefault="007015C8" w:rsidP="008435A5">
      <w:pPr>
        <w:pStyle w:val="ab"/>
        <w:spacing w:before="240"/>
        <w:ind w:left="851" w:right="284"/>
        <w:rPr>
          <w:rFonts w:ascii="Arial" w:hAnsi="Arial" w:cs="Arial"/>
          <w:color w:val="3B3B3B"/>
          <w:sz w:val="20"/>
        </w:rPr>
      </w:pPr>
      <w:r>
        <w:rPr>
          <w:rFonts w:ascii="Arial" w:hAnsi="Arial" w:cs="Arial"/>
          <w:color w:val="3B3B3B"/>
          <w:sz w:val="20"/>
        </w:rPr>
        <w:t>Проранжировав данные и представив это в виде диаграммы, мы увидим, что на настоящий момент наибольшее равенство доходов наблюдается среди сотрудников в сфере</w:t>
      </w:r>
      <w:r w:rsidR="00321F2D">
        <w:rPr>
          <w:rFonts w:ascii="Arial" w:hAnsi="Arial" w:cs="Arial"/>
          <w:color w:val="3B3B3B"/>
          <w:sz w:val="20"/>
        </w:rPr>
        <w:t xml:space="preserve"> добычи полезных ископаемых, а </w:t>
      </w:r>
      <w:r>
        <w:rPr>
          <w:rFonts w:ascii="Arial" w:hAnsi="Arial" w:cs="Arial"/>
          <w:color w:val="3B3B3B"/>
          <w:sz w:val="20"/>
        </w:rPr>
        <w:t>наибольшее неравенство – в с</w:t>
      </w:r>
      <w:r w:rsidR="00321F2D">
        <w:rPr>
          <w:rFonts w:ascii="Arial" w:hAnsi="Arial" w:cs="Arial"/>
          <w:color w:val="3B3B3B"/>
          <w:sz w:val="20"/>
        </w:rPr>
        <w:t>фере рыболовства и рыбоводства.</w:t>
      </w:r>
    </w:p>
    <w:p w:rsidR="007015C8" w:rsidRPr="00F47CD4" w:rsidRDefault="007015C8" w:rsidP="007015C8">
      <w:pPr>
        <w:pStyle w:val="ab"/>
        <w:ind w:left="851" w:right="283"/>
        <w:rPr>
          <w:b/>
          <w:noProof/>
        </w:rPr>
      </w:pPr>
      <w:r w:rsidRPr="00F47CD4">
        <w:rPr>
          <w:rFonts w:ascii="Arial" w:hAnsi="Arial" w:cs="Arial"/>
          <w:b/>
          <w:color w:val="3B3B3B"/>
          <w:sz w:val="16"/>
          <w:szCs w:val="16"/>
        </w:rPr>
        <w:t>Диаграмма 6</w:t>
      </w:r>
    </w:p>
    <w:p w:rsidR="007015C8" w:rsidRDefault="007015C8" w:rsidP="007015C8">
      <w:pPr>
        <w:pStyle w:val="ab"/>
        <w:ind w:left="851" w:right="283"/>
        <w:rPr>
          <w:rFonts w:ascii="Arial" w:hAnsi="Arial" w:cs="Arial"/>
          <w:color w:val="3B3B3B"/>
          <w:sz w:val="20"/>
        </w:rPr>
      </w:pPr>
      <w:r>
        <w:rPr>
          <w:noProof/>
        </w:rPr>
        <w:drawing>
          <wp:inline distT="0" distB="0" distL="0" distR="0">
            <wp:extent cx="5934075" cy="2952750"/>
            <wp:effectExtent l="0" t="0" r="9525"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15C8" w:rsidRDefault="00321F2D" w:rsidP="008435A5">
      <w:pPr>
        <w:pStyle w:val="ab"/>
        <w:spacing w:before="240"/>
        <w:ind w:left="851" w:right="284"/>
        <w:rPr>
          <w:rFonts w:ascii="Arial" w:hAnsi="Arial" w:cs="Arial"/>
          <w:color w:val="3B3B3B"/>
          <w:sz w:val="20"/>
        </w:rPr>
      </w:pPr>
      <w:r>
        <w:rPr>
          <w:rFonts w:ascii="Arial" w:hAnsi="Arial" w:cs="Arial"/>
          <w:color w:val="3B3B3B"/>
          <w:sz w:val="20"/>
        </w:rPr>
        <w:t>Для того</w:t>
      </w:r>
      <w:r w:rsidR="007015C8">
        <w:rPr>
          <w:rFonts w:ascii="Arial" w:hAnsi="Arial" w:cs="Arial"/>
          <w:color w:val="3B3B3B"/>
          <w:sz w:val="20"/>
        </w:rPr>
        <w:t xml:space="preserve"> чтобы проиллюстрировать</w:t>
      </w:r>
      <w:r>
        <w:rPr>
          <w:rFonts w:ascii="Arial" w:hAnsi="Arial" w:cs="Arial"/>
          <w:color w:val="3B3B3B"/>
          <w:sz w:val="20"/>
        </w:rPr>
        <w:t>,</w:t>
      </w:r>
      <w:r w:rsidR="007015C8">
        <w:rPr>
          <w:rFonts w:ascii="Arial" w:hAnsi="Arial" w:cs="Arial"/>
          <w:color w:val="3B3B3B"/>
          <w:sz w:val="20"/>
        </w:rPr>
        <w:t xml:space="preserve"> насколько коэффициент неравенства 0,486 отличается от коэффициента 0,314, приведем простой пример. В сфере рыболовства и рыбоводства 12,4% самых высокооплачиваемых сотрудников получают 40% совокупного дохода. А вот </w:t>
      </w:r>
      <w:r>
        <w:rPr>
          <w:rFonts w:ascii="Arial" w:hAnsi="Arial" w:cs="Arial"/>
          <w:color w:val="3B3B3B"/>
          <w:sz w:val="20"/>
        </w:rPr>
        <w:t>в</w:t>
      </w:r>
      <w:r w:rsidR="007015C8">
        <w:rPr>
          <w:rFonts w:ascii="Arial" w:hAnsi="Arial" w:cs="Arial"/>
          <w:color w:val="3B3B3B"/>
          <w:sz w:val="20"/>
        </w:rPr>
        <w:t xml:space="preserve"> самой «справедливой» с этой точки зрения сфере – сфере добычи полезных ископаемых </w:t>
      </w:r>
      <w:r w:rsidR="006E4A24">
        <w:rPr>
          <w:rFonts w:ascii="Arial" w:hAnsi="Arial" w:cs="Arial"/>
          <w:color w:val="3B3B3B"/>
          <w:sz w:val="20"/>
        </w:rPr>
        <w:t>–</w:t>
      </w:r>
      <w:r w:rsidR="000820D5">
        <w:rPr>
          <w:rFonts w:ascii="Arial" w:hAnsi="Arial" w:cs="Arial"/>
          <w:color w:val="3B3B3B"/>
          <w:sz w:val="20"/>
        </w:rPr>
        <w:t xml:space="preserve"> </w:t>
      </w:r>
      <w:r w:rsidR="007015C8">
        <w:rPr>
          <w:rFonts w:ascii="Arial" w:hAnsi="Arial" w:cs="Arial"/>
          <w:color w:val="3B3B3B"/>
          <w:sz w:val="20"/>
        </w:rPr>
        <w:t>чуть</w:t>
      </w:r>
      <w:r w:rsidR="006E4A24">
        <w:rPr>
          <w:rFonts w:ascii="Arial" w:hAnsi="Arial" w:cs="Arial"/>
          <w:color w:val="3B3B3B"/>
          <w:sz w:val="20"/>
        </w:rPr>
        <w:t xml:space="preserve"> </w:t>
      </w:r>
      <w:r w:rsidR="007015C8">
        <w:rPr>
          <w:rFonts w:ascii="Arial" w:hAnsi="Arial" w:cs="Arial"/>
          <w:color w:val="3B3B3B"/>
          <w:sz w:val="20"/>
        </w:rPr>
        <w:t>больше 40% совокупного дохода получают уже 22,</w:t>
      </w:r>
      <w:r w:rsidR="00F47CD4">
        <w:rPr>
          <w:rFonts w:ascii="Arial" w:hAnsi="Arial" w:cs="Arial"/>
          <w:color w:val="3B3B3B"/>
          <w:sz w:val="20"/>
        </w:rPr>
        <w:t>1% сотрудников (</w:t>
      </w:r>
      <w:proofErr w:type="gramStart"/>
      <w:r w:rsidR="00F47CD4">
        <w:rPr>
          <w:rFonts w:ascii="Arial" w:hAnsi="Arial" w:cs="Arial"/>
          <w:color w:val="3B3B3B"/>
          <w:sz w:val="20"/>
        </w:rPr>
        <w:t>см</w:t>
      </w:r>
      <w:proofErr w:type="gramEnd"/>
      <w:r w:rsidR="00F47CD4">
        <w:rPr>
          <w:rFonts w:ascii="Arial" w:hAnsi="Arial" w:cs="Arial"/>
          <w:color w:val="3B3B3B"/>
          <w:sz w:val="20"/>
        </w:rPr>
        <w:t xml:space="preserve">. </w:t>
      </w:r>
      <w:r w:rsidRPr="00321F2D">
        <w:rPr>
          <w:rFonts w:ascii="Arial" w:hAnsi="Arial" w:cs="Arial"/>
          <w:b/>
          <w:color w:val="3B3B3B"/>
          <w:sz w:val="20"/>
        </w:rPr>
        <w:t>Т</w:t>
      </w:r>
      <w:r w:rsidR="00F47CD4" w:rsidRPr="00321F2D">
        <w:rPr>
          <w:rFonts w:ascii="Arial" w:hAnsi="Arial" w:cs="Arial"/>
          <w:b/>
          <w:color w:val="3B3B3B"/>
          <w:sz w:val="20"/>
        </w:rPr>
        <w:t>аблицу 4</w:t>
      </w:r>
      <w:r w:rsidR="00F47CD4">
        <w:rPr>
          <w:rFonts w:ascii="Arial" w:hAnsi="Arial" w:cs="Arial"/>
          <w:color w:val="3B3B3B"/>
          <w:sz w:val="20"/>
        </w:rPr>
        <w:t>).</w:t>
      </w:r>
    </w:p>
    <w:p w:rsidR="007015C8" w:rsidRPr="00F47CD4" w:rsidRDefault="000820D5" w:rsidP="008435A5">
      <w:pPr>
        <w:pStyle w:val="ab"/>
        <w:spacing w:before="240"/>
        <w:ind w:left="851" w:right="284"/>
        <w:rPr>
          <w:rFonts w:ascii="Arial" w:hAnsi="Arial" w:cs="Arial"/>
          <w:b/>
          <w:color w:val="3B3B3B"/>
          <w:sz w:val="16"/>
          <w:szCs w:val="16"/>
        </w:rPr>
      </w:pPr>
      <w:r>
        <w:rPr>
          <w:rFonts w:ascii="Arial" w:hAnsi="Arial" w:cs="Arial"/>
          <w:b/>
          <w:color w:val="3B3B3B"/>
          <w:sz w:val="16"/>
          <w:szCs w:val="16"/>
        </w:rPr>
        <w:lastRenderedPageBreak/>
        <w:t>Таблица 4</w:t>
      </w:r>
    </w:p>
    <w:tbl>
      <w:tblPr>
        <w:tblW w:w="5840" w:type="dxa"/>
        <w:jc w:val="center"/>
        <w:tblLook w:val="04A0"/>
      </w:tblPr>
      <w:tblGrid>
        <w:gridCol w:w="1480"/>
        <w:gridCol w:w="1500"/>
        <w:gridCol w:w="1420"/>
        <w:gridCol w:w="1440"/>
      </w:tblGrid>
      <w:tr w:rsidR="007015C8" w:rsidRPr="00136FA2" w:rsidTr="008435A5">
        <w:trPr>
          <w:trHeight w:val="765"/>
          <w:jc w:val="center"/>
        </w:trPr>
        <w:tc>
          <w:tcPr>
            <w:tcW w:w="2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15C8" w:rsidRPr="00136FA2"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136FA2">
              <w:rPr>
                <w:rFonts w:ascii="Arial" w:eastAsia="Times New Roman" w:hAnsi="Arial" w:cs="Arial"/>
                <w:b/>
                <w:bCs/>
                <w:color w:val="404040" w:themeColor="text1" w:themeTint="BF"/>
                <w:sz w:val="16"/>
                <w:szCs w:val="16"/>
                <w:lang w:eastAsia="ru-RU"/>
              </w:rPr>
              <w:t>Рыбоводство, рыбоводство</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7015C8" w:rsidRPr="00136FA2"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136FA2">
              <w:rPr>
                <w:rFonts w:ascii="Arial" w:eastAsia="Times New Roman" w:hAnsi="Arial" w:cs="Arial"/>
                <w:b/>
                <w:bCs/>
                <w:color w:val="404040" w:themeColor="text1" w:themeTint="BF"/>
                <w:sz w:val="16"/>
                <w:szCs w:val="16"/>
                <w:lang w:eastAsia="ru-RU"/>
              </w:rPr>
              <w:t>Добыча полезных ископаемых</w:t>
            </w:r>
          </w:p>
        </w:tc>
      </w:tr>
      <w:tr w:rsidR="007015C8" w:rsidRPr="00136FA2" w:rsidTr="008435A5">
        <w:trPr>
          <w:trHeight w:val="675"/>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5281F">
              <w:rPr>
                <w:rFonts w:ascii="Arial" w:eastAsia="Times New Roman" w:hAnsi="Arial" w:cs="Arial"/>
                <w:color w:val="404040" w:themeColor="text1" w:themeTint="BF"/>
                <w:sz w:val="16"/>
                <w:szCs w:val="16"/>
                <w:lang w:eastAsia="ru-RU"/>
              </w:rPr>
              <w:t>Кумулятивный</w:t>
            </w:r>
            <w:r w:rsidRPr="00136FA2">
              <w:rPr>
                <w:rFonts w:ascii="Arial" w:eastAsia="Times New Roman" w:hAnsi="Arial" w:cs="Arial"/>
                <w:color w:val="404040" w:themeColor="text1" w:themeTint="BF"/>
                <w:sz w:val="16"/>
                <w:szCs w:val="16"/>
                <w:lang w:eastAsia="ru-RU"/>
              </w:rPr>
              <w:t xml:space="preserve"> вес в общем доходе</w:t>
            </w:r>
          </w:p>
        </w:tc>
        <w:tc>
          <w:tcPr>
            <w:tcW w:w="1500" w:type="dxa"/>
            <w:tcBorders>
              <w:top w:val="nil"/>
              <w:left w:val="nil"/>
              <w:bottom w:val="single" w:sz="4" w:space="0" w:color="auto"/>
              <w:right w:val="single" w:sz="4" w:space="0" w:color="auto"/>
            </w:tcBorders>
            <w:shd w:val="clear" w:color="auto" w:fill="auto"/>
            <w:vAlign w:val="center"/>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5281F">
              <w:rPr>
                <w:rFonts w:ascii="Arial" w:eastAsia="Times New Roman" w:hAnsi="Arial" w:cs="Arial"/>
                <w:color w:val="404040" w:themeColor="text1" w:themeTint="BF"/>
                <w:sz w:val="16"/>
                <w:szCs w:val="16"/>
                <w:lang w:eastAsia="ru-RU"/>
              </w:rPr>
              <w:t>Кумулятивный</w:t>
            </w:r>
            <w:r w:rsidRPr="00136FA2">
              <w:rPr>
                <w:rFonts w:ascii="Arial" w:eastAsia="Times New Roman" w:hAnsi="Arial" w:cs="Arial"/>
                <w:color w:val="404040" w:themeColor="text1" w:themeTint="BF"/>
                <w:sz w:val="16"/>
                <w:szCs w:val="16"/>
                <w:lang w:eastAsia="ru-RU"/>
              </w:rPr>
              <w:t xml:space="preserve"> ряд численности сотрудников</w:t>
            </w:r>
          </w:p>
        </w:tc>
        <w:tc>
          <w:tcPr>
            <w:tcW w:w="1420" w:type="dxa"/>
            <w:tcBorders>
              <w:top w:val="nil"/>
              <w:left w:val="nil"/>
              <w:bottom w:val="single" w:sz="4" w:space="0" w:color="auto"/>
              <w:right w:val="single" w:sz="4" w:space="0" w:color="auto"/>
            </w:tcBorders>
            <w:shd w:val="clear" w:color="auto" w:fill="auto"/>
            <w:vAlign w:val="center"/>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5281F">
              <w:rPr>
                <w:rFonts w:ascii="Arial" w:eastAsia="Times New Roman" w:hAnsi="Arial" w:cs="Arial"/>
                <w:color w:val="404040" w:themeColor="text1" w:themeTint="BF"/>
                <w:sz w:val="16"/>
                <w:szCs w:val="16"/>
                <w:lang w:eastAsia="ru-RU"/>
              </w:rPr>
              <w:t>Кумулятивный</w:t>
            </w:r>
            <w:r w:rsidRPr="00136FA2">
              <w:rPr>
                <w:rFonts w:ascii="Arial" w:eastAsia="Times New Roman" w:hAnsi="Arial" w:cs="Arial"/>
                <w:color w:val="404040" w:themeColor="text1" w:themeTint="BF"/>
                <w:sz w:val="16"/>
                <w:szCs w:val="16"/>
                <w:lang w:eastAsia="ru-RU"/>
              </w:rPr>
              <w:t xml:space="preserve"> вес в общем доходе</w:t>
            </w:r>
          </w:p>
        </w:tc>
        <w:tc>
          <w:tcPr>
            <w:tcW w:w="1440" w:type="dxa"/>
            <w:tcBorders>
              <w:top w:val="nil"/>
              <w:left w:val="nil"/>
              <w:bottom w:val="single" w:sz="4" w:space="0" w:color="auto"/>
              <w:right w:val="single" w:sz="4" w:space="0" w:color="auto"/>
            </w:tcBorders>
            <w:shd w:val="clear" w:color="auto" w:fill="auto"/>
            <w:vAlign w:val="center"/>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5281F">
              <w:rPr>
                <w:rFonts w:ascii="Arial" w:eastAsia="Times New Roman" w:hAnsi="Arial" w:cs="Arial"/>
                <w:color w:val="404040" w:themeColor="text1" w:themeTint="BF"/>
                <w:sz w:val="16"/>
                <w:szCs w:val="16"/>
                <w:lang w:eastAsia="ru-RU"/>
              </w:rPr>
              <w:t>Кумулятивный</w:t>
            </w:r>
            <w:r w:rsidRPr="00136FA2">
              <w:rPr>
                <w:rFonts w:ascii="Arial" w:eastAsia="Times New Roman" w:hAnsi="Arial" w:cs="Arial"/>
                <w:color w:val="404040" w:themeColor="text1" w:themeTint="BF"/>
                <w:sz w:val="16"/>
                <w:szCs w:val="16"/>
                <w:lang w:eastAsia="ru-RU"/>
              </w:rPr>
              <w:t xml:space="preserve"> ряд численности сотрудников</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0,11</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1,3</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0,01</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0,1</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0,83</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6,8</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0,03</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0,3</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1,91</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12,5</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0,22</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1,4</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3,46</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18,7</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0,65</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3,3</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5,85</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26,2</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1,53</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6,4</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9,49</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35,5</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3,71</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12,6</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12,29</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41,4</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6,01</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18</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21,69</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56,3</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15,63</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35</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34,29</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70,4</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32,70</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56,3</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49,01</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81,6</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136FA2">
              <w:rPr>
                <w:rFonts w:ascii="Arial" w:eastAsia="Times New Roman" w:hAnsi="Arial" w:cs="Arial"/>
                <w:b/>
                <w:bCs/>
                <w:color w:val="404040" w:themeColor="text1" w:themeTint="BF"/>
                <w:sz w:val="16"/>
                <w:szCs w:val="16"/>
                <w:lang w:eastAsia="ru-RU"/>
              </w:rPr>
              <w:t>58,16</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136FA2">
              <w:rPr>
                <w:rFonts w:ascii="Arial" w:eastAsia="Times New Roman" w:hAnsi="Arial" w:cs="Arial"/>
                <w:b/>
                <w:bCs/>
                <w:color w:val="404040" w:themeColor="text1" w:themeTint="BF"/>
                <w:sz w:val="16"/>
                <w:szCs w:val="16"/>
                <w:lang w:eastAsia="ru-RU"/>
              </w:rPr>
              <w:t>77,9</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136FA2">
              <w:rPr>
                <w:rFonts w:ascii="Arial" w:eastAsia="Times New Roman" w:hAnsi="Arial" w:cs="Arial"/>
                <w:b/>
                <w:bCs/>
                <w:color w:val="404040" w:themeColor="text1" w:themeTint="BF"/>
                <w:sz w:val="16"/>
                <w:szCs w:val="16"/>
                <w:lang w:eastAsia="ru-RU"/>
              </w:rPr>
              <w:t>60,05</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b/>
                <w:bCs/>
                <w:color w:val="404040" w:themeColor="text1" w:themeTint="BF"/>
                <w:sz w:val="16"/>
                <w:szCs w:val="16"/>
                <w:lang w:eastAsia="ru-RU"/>
              </w:rPr>
            </w:pPr>
            <w:r w:rsidRPr="00136FA2">
              <w:rPr>
                <w:rFonts w:ascii="Arial" w:eastAsia="Times New Roman" w:hAnsi="Arial" w:cs="Arial"/>
                <w:b/>
                <w:bCs/>
                <w:color w:val="404040" w:themeColor="text1" w:themeTint="BF"/>
                <w:sz w:val="16"/>
                <w:szCs w:val="16"/>
                <w:lang w:eastAsia="ru-RU"/>
              </w:rPr>
              <w:t>87,6</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76,14</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88,8</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77,92</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96,1</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95,76</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99,2</w:t>
            </w:r>
          </w:p>
        </w:tc>
      </w:tr>
      <w:tr w:rsidR="007015C8" w:rsidRPr="00136FA2"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100,00</w:t>
            </w: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100</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100,00</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136FA2"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136FA2">
              <w:rPr>
                <w:rFonts w:ascii="Arial" w:eastAsia="Times New Roman" w:hAnsi="Arial" w:cs="Arial"/>
                <w:color w:val="404040" w:themeColor="text1" w:themeTint="BF"/>
                <w:sz w:val="16"/>
                <w:szCs w:val="16"/>
                <w:lang w:eastAsia="ru-RU"/>
              </w:rPr>
              <w:t>100</w:t>
            </w:r>
          </w:p>
        </w:tc>
      </w:tr>
    </w:tbl>
    <w:p w:rsidR="007015C8" w:rsidRDefault="007015C8" w:rsidP="008435A5">
      <w:pPr>
        <w:pStyle w:val="ab"/>
        <w:spacing w:before="240"/>
        <w:ind w:left="851" w:right="284"/>
        <w:rPr>
          <w:rFonts w:ascii="Arial" w:hAnsi="Arial" w:cs="Arial"/>
          <w:b/>
          <w:color w:val="3B3B3B"/>
          <w:sz w:val="22"/>
          <w:szCs w:val="22"/>
        </w:rPr>
      </w:pPr>
      <w:r w:rsidRPr="003646BB">
        <w:rPr>
          <w:rFonts w:ascii="Arial" w:hAnsi="Arial" w:cs="Arial"/>
          <w:b/>
          <w:color w:val="3B3B3B"/>
          <w:sz w:val="22"/>
          <w:szCs w:val="22"/>
        </w:rPr>
        <w:t xml:space="preserve">Влияние кризиса на </w:t>
      </w:r>
      <w:r>
        <w:rPr>
          <w:rFonts w:ascii="Arial" w:hAnsi="Arial" w:cs="Arial"/>
          <w:b/>
          <w:color w:val="3B3B3B"/>
          <w:sz w:val="22"/>
          <w:szCs w:val="22"/>
        </w:rPr>
        <w:t>дифференциацию размеров заработных плат в отраслях экономики</w:t>
      </w:r>
    </w:p>
    <w:p w:rsidR="007015C8" w:rsidRDefault="007015C8" w:rsidP="007015C8">
      <w:pPr>
        <w:pStyle w:val="ab"/>
        <w:ind w:left="851" w:right="283"/>
        <w:rPr>
          <w:rFonts w:ascii="Arial" w:hAnsi="Arial" w:cs="Arial"/>
          <w:color w:val="3B3B3B"/>
          <w:sz w:val="20"/>
        </w:rPr>
      </w:pPr>
      <w:r w:rsidRPr="003646BB">
        <w:rPr>
          <w:rFonts w:ascii="Arial" w:hAnsi="Arial" w:cs="Arial"/>
          <w:color w:val="3B3B3B"/>
          <w:sz w:val="20"/>
        </w:rPr>
        <w:t>Ра</w:t>
      </w:r>
      <w:r>
        <w:rPr>
          <w:rFonts w:ascii="Arial" w:hAnsi="Arial" w:cs="Arial"/>
          <w:color w:val="3B3B3B"/>
          <w:sz w:val="20"/>
        </w:rPr>
        <w:t xml:space="preserve">ссчитав </w:t>
      </w:r>
      <w:proofErr w:type="gramStart"/>
      <w:r>
        <w:rPr>
          <w:rFonts w:ascii="Arial" w:hAnsi="Arial" w:cs="Arial"/>
          <w:color w:val="3B3B3B"/>
          <w:sz w:val="20"/>
        </w:rPr>
        <w:t>коэффициент Джини для</w:t>
      </w:r>
      <w:r w:rsidR="00E53788">
        <w:rPr>
          <w:rFonts w:ascii="Arial" w:hAnsi="Arial" w:cs="Arial"/>
          <w:color w:val="3B3B3B"/>
          <w:sz w:val="20"/>
        </w:rPr>
        <w:t xml:space="preserve"> отраслей экономики в 2013 году</w:t>
      </w:r>
      <w:r>
        <w:rPr>
          <w:rFonts w:ascii="Arial" w:hAnsi="Arial" w:cs="Arial"/>
          <w:color w:val="3B3B3B"/>
          <w:sz w:val="20"/>
        </w:rPr>
        <w:t xml:space="preserve"> и сравнив</w:t>
      </w:r>
      <w:proofErr w:type="gramEnd"/>
      <w:r>
        <w:rPr>
          <w:rFonts w:ascii="Arial" w:hAnsi="Arial" w:cs="Arial"/>
          <w:color w:val="3B3B3B"/>
          <w:sz w:val="20"/>
        </w:rPr>
        <w:t xml:space="preserve"> эти значения с показателями 2015 года, мы увидим, как повлиял кризис на дифференциацию зарабо</w:t>
      </w:r>
      <w:r w:rsidR="00321F2D">
        <w:rPr>
          <w:rFonts w:ascii="Arial" w:hAnsi="Arial" w:cs="Arial"/>
          <w:color w:val="3B3B3B"/>
          <w:sz w:val="20"/>
        </w:rPr>
        <w:t>тных плат в той или иной сфере.</w:t>
      </w:r>
    </w:p>
    <w:p w:rsidR="007015C8" w:rsidRDefault="007015C8" w:rsidP="007015C8">
      <w:pPr>
        <w:pStyle w:val="ab"/>
        <w:ind w:left="851" w:right="283"/>
        <w:rPr>
          <w:rFonts w:ascii="Arial" w:hAnsi="Arial" w:cs="Arial"/>
          <w:color w:val="3B3B3B"/>
          <w:sz w:val="20"/>
        </w:rPr>
      </w:pPr>
      <w:r>
        <w:rPr>
          <w:rFonts w:ascii="Arial" w:hAnsi="Arial" w:cs="Arial"/>
          <w:color w:val="3B3B3B"/>
          <w:sz w:val="20"/>
        </w:rPr>
        <w:t>Посмотрим, стали ли где-то доходы в отрасли распределяться между сотрудниками «справед</w:t>
      </w:r>
      <w:r w:rsidR="00321F2D">
        <w:rPr>
          <w:rFonts w:ascii="Arial" w:hAnsi="Arial" w:cs="Arial"/>
          <w:color w:val="3B3B3B"/>
          <w:sz w:val="20"/>
        </w:rPr>
        <w:t>ливее».</w:t>
      </w:r>
    </w:p>
    <w:p w:rsidR="007015C8" w:rsidRDefault="007015C8" w:rsidP="007015C8">
      <w:pPr>
        <w:pStyle w:val="ab"/>
        <w:ind w:left="851" w:right="283"/>
        <w:rPr>
          <w:rFonts w:ascii="Arial" w:hAnsi="Arial" w:cs="Arial"/>
          <w:color w:val="3B3B3B"/>
          <w:sz w:val="20"/>
        </w:rPr>
      </w:pPr>
      <w:r w:rsidRPr="00DD5524">
        <w:rPr>
          <w:rFonts w:ascii="Arial" w:hAnsi="Arial" w:cs="Arial"/>
          <w:b/>
          <w:color w:val="3B3B3B"/>
          <w:sz w:val="20"/>
        </w:rPr>
        <w:t>Диаграмма 7</w:t>
      </w:r>
      <w:r>
        <w:rPr>
          <w:rFonts w:ascii="Arial" w:hAnsi="Arial" w:cs="Arial"/>
          <w:color w:val="3B3B3B"/>
          <w:sz w:val="20"/>
        </w:rPr>
        <w:t xml:space="preserve"> – рейтинг отраслей по росту коэффициента Джини. На диаграмме видно, что за последние 2 года неравенство в распределении заработных плат значительно выросло в сферах рыболовства, рыбоводства (+15,3%), гостиничного и ресторанного бизнеса (+4,82%) и строительства (+3,66%). </w:t>
      </w:r>
    </w:p>
    <w:p w:rsidR="00E53788" w:rsidRDefault="00DD5524" w:rsidP="007015C8">
      <w:pPr>
        <w:pStyle w:val="ab"/>
        <w:ind w:left="851" w:right="283"/>
        <w:rPr>
          <w:rFonts w:ascii="Arial" w:hAnsi="Arial" w:cs="Arial"/>
          <w:color w:val="3B3B3B"/>
          <w:sz w:val="20"/>
        </w:rPr>
      </w:pPr>
      <w:r>
        <w:rPr>
          <w:rFonts w:ascii="Arial" w:hAnsi="Arial" w:cs="Arial"/>
          <w:color w:val="3B3B3B"/>
          <w:sz w:val="20"/>
        </w:rPr>
        <w:t>Более «справедливым»</w:t>
      </w:r>
      <w:r w:rsidR="007015C8">
        <w:rPr>
          <w:rFonts w:ascii="Arial" w:hAnsi="Arial" w:cs="Arial"/>
          <w:color w:val="3B3B3B"/>
          <w:sz w:val="20"/>
        </w:rPr>
        <w:t xml:space="preserve"> распределение заработных плат стало в здравоохранении и предоставлении социальных услуг (-3,47%), в сфере оптовой и розничной торговли автотранспортными средствами (-2,27%), в сфере научных исследований и разработок (-2,16%).</w:t>
      </w:r>
    </w:p>
    <w:p w:rsidR="00E53788" w:rsidRDefault="00E53788">
      <w:pPr>
        <w:rPr>
          <w:rFonts w:ascii="Arial" w:eastAsia="Times New Roman" w:hAnsi="Arial" w:cs="Arial"/>
          <w:color w:val="3B3B3B"/>
          <w:sz w:val="20"/>
          <w:szCs w:val="20"/>
          <w:lang w:eastAsia="ru-RU"/>
        </w:rPr>
      </w:pPr>
      <w:r>
        <w:rPr>
          <w:rFonts w:ascii="Arial" w:hAnsi="Arial" w:cs="Arial"/>
          <w:color w:val="3B3B3B"/>
          <w:sz w:val="20"/>
        </w:rPr>
        <w:br w:type="page"/>
      </w:r>
    </w:p>
    <w:p w:rsidR="00E53788" w:rsidRDefault="00E53788" w:rsidP="007015C8">
      <w:pPr>
        <w:pStyle w:val="ab"/>
        <w:ind w:left="851" w:right="283"/>
        <w:rPr>
          <w:rFonts w:ascii="Arial" w:hAnsi="Arial" w:cs="Arial"/>
          <w:color w:val="3B3B3B"/>
          <w:sz w:val="20"/>
        </w:rPr>
      </w:pPr>
      <w:r w:rsidRPr="00F47CD4">
        <w:rPr>
          <w:rFonts w:ascii="Arial" w:hAnsi="Arial" w:cs="Arial"/>
          <w:b/>
          <w:color w:val="3B3B3B"/>
          <w:sz w:val="16"/>
          <w:szCs w:val="16"/>
        </w:rPr>
        <w:lastRenderedPageBreak/>
        <w:t>Диаграмма</w:t>
      </w:r>
      <w:r w:rsidR="005B44D7">
        <w:rPr>
          <w:rFonts w:ascii="Arial" w:hAnsi="Arial" w:cs="Arial"/>
          <w:b/>
          <w:color w:val="3B3B3B"/>
          <w:sz w:val="16"/>
          <w:szCs w:val="16"/>
        </w:rPr>
        <w:t xml:space="preserve"> </w:t>
      </w:r>
      <w:r>
        <w:rPr>
          <w:rFonts w:ascii="Arial" w:hAnsi="Arial" w:cs="Arial"/>
          <w:b/>
          <w:color w:val="3B3B3B"/>
          <w:sz w:val="16"/>
          <w:szCs w:val="16"/>
        </w:rPr>
        <w:t>7</w:t>
      </w:r>
    </w:p>
    <w:p w:rsidR="007015C8" w:rsidRPr="003646BB" w:rsidRDefault="007015C8" w:rsidP="007015C8">
      <w:pPr>
        <w:pStyle w:val="ab"/>
        <w:ind w:left="851" w:right="283"/>
        <w:rPr>
          <w:rFonts w:ascii="Arial" w:hAnsi="Arial" w:cs="Arial"/>
          <w:color w:val="3B3B3B"/>
          <w:sz w:val="20"/>
        </w:rPr>
      </w:pPr>
      <w:r>
        <w:rPr>
          <w:noProof/>
        </w:rPr>
        <w:drawing>
          <wp:inline distT="0" distB="0" distL="0" distR="0">
            <wp:extent cx="5867400" cy="405765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015C8" w:rsidRDefault="00976FB4" w:rsidP="00ED2477">
      <w:pPr>
        <w:pStyle w:val="ab"/>
        <w:spacing w:before="240"/>
        <w:ind w:left="851" w:right="284"/>
        <w:rPr>
          <w:rFonts w:ascii="Arial" w:hAnsi="Arial" w:cs="Arial"/>
          <w:color w:val="3B3B3B"/>
          <w:sz w:val="20"/>
        </w:rPr>
      </w:pPr>
      <w:r>
        <w:rPr>
          <w:rFonts w:ascii="Arial" w:hAnsi="Arial" w:cs="Arial"/>
          <w:color w:val="3B3B3B"/>
          <w:sz w:val="20"/>
        </w:rPr>
        <w:t>В</w:t>
      </w:r>
      <w:r w:rsidR="007015C8">
        <w:rPr>
          <w:rFonts w:ascii="Arial" w:hAnsi="Arial" w:cs="Arial"/>
          <w:color w:val="3B3B3B"/>
          <w:sz w:val="20"/>
        </w:rPr>
        <w:t xml:space="preserve"> сфере рыболовства и рыбоводства в 2013 году 8,2% самых высокооплачиваемых сотрудников обладали 23,56% совокупного дохода. В 2015 году 22,08% совокупного дохода принадлежали уже 3,9% самым высокооплачиваемым сотрудникам. То есть</w:t>
      </w:r>
      <w:r w:rsidR="006E4A24">
        <w:rPr>
          <w:rFonts w:ascii="Arial" w:hAnsi="Arial" w:cs="Arial"/>
          <w:color w:val="3B3B3B"/>
          <w:sz w:val="20"/>
        </w:rPr>
        <w:t>,</w:t>
      </w:r>
      <w:r w:rsidR="007015C8">
        <w:rPr>
          <w:rFonts w:ascii="Arial" w:hAnsi="Arial" w:cs="Arial"/>
          <w:color w:val="3B3B3B"/>
          <w:sz w:val="20"/>
        </w:rPr>
        <w:t xml:space="preserve"> в 2013 году на 1% самых высокооплачиваемых сотрудников приходилось 2,87% совокупного дохода отрасли, </w:t>
      </w:r>
      <w:r w:rsidR="006E4A24">
        <w:rPr>
          <w:rFonts w:ascii="Arial" w:hAnsi="Arial" w:cs="Arial"/>
          <w:color w:val="3B3B3B"/>
          <w:sz w:val="20"/>
        </w:rPr>
        <w:t>а</w:t>
      </w:r>
      <w:r w:rsidR="007015C8">
        <w:rPr>
          <w:rFonts w:ascii="Arial" w:hAnsi="Arial" w:cs="Arial"/>
          <w:color w:val="3B3B3B"/>
          <w:sz w:val="20"/>
        </w:rPr>
        <w:t xml:space="preserve"> в 2015 году на каждый процент таких сотрудников уже приходился 5,</w:t>
      </w:r>
      <w:r w:rsidR="00ED2477">
        <w:rPr>
          <w:rFonts w:ascii="Arial" w:hAnsi="Arial" w:cs="Arial"/>
          <w:color w:val="3B3B3B"/>
          <w:sz w:val="20"/>
        </w:rPr>
        <w:t>66% совокупного дохода отрасли.</w:t>
      </w:r>
    </w:p>
    <w:p w:rsidR="007015C8" w:rsidRPr="00A249BB" w:rsidRDefault="007015C8" w:rsidP="00321F2D">
      <w:pPr>
        <w:pStyle w:val="ab"/>
        <w:spacing w:before="240"/>
        <w:ind w:left="851" w:right="284"/>
        <w:rPr>
          <w:rFonts w:ascii="Arial" w:hAnsi="Arial" w:cs="Arial"/>
          <w:b/>
          <w:i/>
          <w:color w:val="3B3B3B"/>
          <w:sz w:val="16"/>
          <w:szCs w:val="16"/>
        </w:rPr>
      </w:pPr>
      <w:r w:rsidRPr="00321F2D">
        <w:rPr>
          <w:rFonts w:ascii="Arial" w:hAnsi="Arial" w:cs="Arial"/>
          <w:b/>
          <w:color w:val="3B3B3B"/>
          <w:sz w:val="16"/>
          <w:szCs w:val="16"/>
        </w:rPr>
        <w:t>Табли</w:t>
      </w:r>
      <w:r w:rsidR="00ED2477" w:rsidRPr="00321F2D">
        <w:rPr>
          <w:rFonts w:ascii="Arial" w:hAnsi="Arial" w:cs="Arial"/>
          <w:b/>
          <w:color w:val="3B3B3B"/>
          <w:sz w:val="16"/>
          <w:szCs w:val="16"/>
        </w:rPr>
        <w:t>ца 5</w:t>
      </w:r>
    </w:p>
    <w:tbl>
      <w:tblPr>
        <w:tblW w:w="5840" w:type="dxa"/>
        <w:jc w:val="center"/>
        <w:tblLook w:val="04A0"/>
      </w:tblPr>
      <w:tblGrid>
        <w:gridCol w:w="1480"/>
        <w:gridCol w:w="1500"/>
        <w:gridCol w:w="1420"/>
        <w:gridCol w:w="1440"/>
      </w:tblGrid>
      <w:tr w:rsidR="007015C8" w:rsidRPr="00991D43" w:rsidTr="008435A5">
        <w:trPr>
          <w:trHeight w:val="255"/>
          <w:jc w:val="center"/>
        </w:trPr>
        <w:tc>
          <w:tcPr>
            <w:tcW w:w="58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b/>
                <w:bCs/>
                <w:color w:val="404040" w:themeColor="text1" w:themeTint="BF"/>
                <w:sz w:val="20"/>
                <w:szCs w:val="20"/>
                <w:lang w:eastAsia="ru-RU"/>
              </w:rPr>
            </w:pPr>
            <w:r w:rsidRPr="00A249BB">
              <w:rPr>
                <w:rFonts w:ascii="Arial" w:eastAsia="Times New Roman" w:hAnsi="Arial" w:cs="Arial"/>
                <w:b/>
                <w:bCs/>
                <w:color w:val="404040" w:themeColor="text1" w:themeTint="BF"/>
                <w:sz w:val="20"/>
                <w:szCs w:val="20"/>
                <w:lang w:eastAsia="ru-RU"/>
              </w:rPr>
              <w:t>Рыболовство, рыбоводство</w:t>
            </w:r>
          </w:p>
        </w:tc>
      </w:tr>
      <w:tr w:rsidR="007015C8" w:rsidRPr="00991D43" w:rsidTr="008435A5">
        <w:trPr>
          <w:trHeight w:val="255"/>
          <w:jc w:val="center"/>
        </w:trPr>
        <w:tc>
          <w:tcPr>
            <w:tcW w:w="2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b/>
                <w:bCs/>
                <w:color w:val="404040" w:themeColor="text1" w:themeTint="BF"/>
                <w:sz w:val="20"/>
                <w:szCs w:val="20"/>
                <w:lang w:eastAsia="ru-RU"/>
              </w:rPr>
            </w:pPr>
            <w:r w:rsidRPr="00A249BB">
              <w:rPr>
                <w:rFonts w:ascii="Arial" w:eastAsia="Times New Roman" w:hAnsi="Arial" w:cs="Arial"/>
                <w:b/>
                <w:bCs/>
                <w:color w:val="404040" w:themeColor="text1" w:themeTint="BF"/>
                <w:sz w:val="20"/>
                <w:szCs w:val="20"/>
                <w:lang w:eastAsia="ru-RU"/>
              </w:rPr>
              <w:t>2013</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b/>
                <w:bCs/>
                <w:color w:val="404040" w:themeColor="text1" w:themeTint="BF"/>
                <w:sz w:val="20"/>
                <w:szCs w:val="20"/>
                <w:lang w:eastAsia="ru-RU"/>
              </w:rPr>
            </w:pPr>
            <w:r w:rsidRPr="00A249BB">
              <w:rPr>
                <w:rFonts w:ascii="Arial" w:eastAsia="Times New Roman" w:hAnsi="Arial" w:cs="Arial"/>
                <w:b/>
                <w:bCs/>
                <w:color w:val="404040" w:themeColor="text1" w:themeTint="BF"/>
                <w:sz w:val="20"/>
                <w:szCs w:val="20"/>
                <w:lang w:eastAsia="ru-RU"/>
              </w:rPr>
              <w:t>2015</w:t>
            </w:r>
          </w:p>
        </w:tc>
      </w:tr>
      <w:tr w:rsidR="007015C8" w:rsidRPr="00991D43" w:rsidTr="008435A5">
        <w:trPr>
          <w:trHeight w:val="675"/>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991D43">
              <w:rPr>
                <w:rFonts w:ascii="Arial" w:eastAsia="Times New Roman" w:hAnsi="Arial" w:cs="Arial"/>
                <w:color w:val="404040" w:themeColor="text1" w:themeTint="BF"/>
                <w:sz w:val="16"/>
                <w:szCs w:val="16"/>
                <w:lang w:eastAsia="ru-RU"/>
              </w:rPr>
              <w:t>Кумулятивный</w:t>
            </w:r>
            <w:r w:rsidRPr="00A249BB">
              <w:rPr>
                <w:rFonts w:ascii="Arial" w:eastAsia="Times New Roman" w:hAnsi="Arial" w:cs="Arial"/>
                <w:color w:val="404040" w:themeColor="text1" w:themeTint="BF"/>
                <w:sz w:val="16"/>
                <w:szCs w:val="16"/>
                <w:lang w:eastAsia="ru-RU"/>
              </w:rPr>
              <w:t xml:space="preserve"> вес в общем доходе</w:t>
            </w:r>
          </w:p>
        </w:tc>
        <w:tc>
          <w:tcPr>
            <w:tcW w:w="1500" w:type="dxa"/>
            <w:tcBorders>
              <w:top w:val="nil"/>
              <w:left w:val="nil"/>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991D43">
              <w:rPr>
                <w:rFonts w:ascii="Arial" w:eastAsia="Times New Roman" w:hAnsi="Arial" w:cs="Arial"/>
                <w:color w:val="404040" w:themeColor="text1" w:themeTint="BF"/>
                <w:sz w:val="16"/>
                <w:szCs w:val="16"/>
                <w:lang w:eastAsia="ru-RU"/>
              </w:rPr>
              <w:t>Кумулятивный</w:t>
            </w:r>
            <w:r w:rsidRPr="00A249BB">
              <w:rPr>
                <w:rFonts w:ascii="Arial" w:eastAsia="Times New Roman" w:hAnsi="Arial" w:cs="Arial"/>
                <w:color w:val="404040" w:themeColor="text1" w:themeTint="BF"/>
                <w:sz w:val="16"/>
                <w:szCs w:val="16"/>
                <w:lang w:eastAsia="ru-RU"/>
              </w:rPr>
              <w:t xml:space="preserve"> ряд численности сотрудников</w:t>
            </w:r>
          </w:p>
        </w:tc>
        <w:tc>
          <w:tcPr>
            <w:tcW w:w="1420" w:type="dxa"/>
            <w:tcBorders>
              <w:top w:val="nil"/>
              <w:left w:val="nil"/>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991D43">
              <w:rPr>
                <w:rFonts w:ascii="Arial" w:eastAsia="Times New Roman" w:hAnsi="Arial" w:cs="Arial"/>
                <w:color w:val="404040" w:themeColor="text1" w:themeTint="BF"/>
                <w:sz w:val="16"/>
                <w:szCs w:val="16"/>
                <w:lang w:eastAsia="ru-RU"/>
              </w:rPr>
              <w:t>Кумулятивный</w:t>
            </w:r>
            <w:r w:rsidRPr="00A249BB">
              <w:rPr>
                <w:rFonts w:ascii="Arial" w:eastAsia="Times New Roman" w:hAnsi="Arial" w:cs="Arial"/>
                <w:color w:val="404040" w:themeColor="text1" w:themeTint="BF"/>
                <w:sz w:val="16"/>
                <w:szCs w:val="16"/>
                <w:lang w:eastAsia="ru-RU"/>
              </w:rPr>
              <w:t xml:space="preserve"> вес в общем доходе</w:t>
            </w:r>
          </w:p>
        </w:tc>
        <w:tc>
          <w:tcPr>
            <w:tcW w:w="1440" w:type="dxa"/>
            <w:tcBorders>
              <w:top w:val="nil"/>
              <w:left w:val="nil"/>
              <w:bottom w:val="single" w:sz="4" w:space="0" w:color="auto"/>
              <w:right w:val="single" w:sz="4" w:space="0" w:color="auto"/>
            </w:tcBorders>
            <w:shd w:val="clear" w:color="auto" w:fill="auto"/>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991D43">
              <w:rPr>
                <w:rFonts w:ascii="Arial" w:eastAsia="Times New Roman" w:hAnsi="Arial" w:cs="Arial"/>
                <w:color w:val="404040" w:themeColor="text1" w:themeTint="BF"/>
                <w:sz w:val="16"/>
                <w:szCs w:val="16"/>
                <w:lang w:eastAsia="ru-RU"/>
              </w:rPr>
              <w:t>Кумулятивный</w:t>
            </w:r>
            <w:r w:rsidRPr="00A249BB">
              <w:rPr>
                <w:rFonts w:ascii="Arial" w:eastAsia="Times New Roman" w:hAnsi="Arial" w:cs="Arial"/>
                <w:color w:val="404040" w:themeColor="text1" w:themeTint="BF"/>
                <w:sz w:val="16"/>
                <w:szCs w:val="16"/>
                <w:lang w:eastAsia="ru-RU"/>
              </w:rPr>
              <w:t xml:space="preserve"> ряд численности сотрудников</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0,03</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0,3</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0,11</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1,3</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1,25</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7,1</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0,83</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6,8</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3,21</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14,7</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1,91</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12,5</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6,40</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24</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3,46</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18,7</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10,93</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34,4</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5,85</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26,2</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15,10</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42,2</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9,49</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35,5</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20,88</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51,1</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12,29</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41,4</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33,64</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65,9</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21,69</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56,3</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47,92</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77,6</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34,29</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70,4</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65,88</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87,6</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49,01</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81,6</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76,44</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91,8</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60,05</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87,6</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100</w:t>
            </w:r>
          </w:p>
        </w:tc>
        <w:tc>
          <w:tcPr>
            <w:tcW w:w="1500" w:type="dxa"/>
            <w:tcBorders>
              <w:top w:val="nil"/>
              <w:left w:val="nil"/>
              <w:bottom w:val="single" w:sz="4" w:space="0" w:color="auto"/>
              <w:right w:val="single" w:sz="4" w:space="0" w:color="auto"/>
            </w:tcBorders>
            <w:shd w:val="clear" w:color="auto" w:fill="auto"/>
            <w:noWrap/>
            <w:vAlign w:val="center"/>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100</w:t>
            </w: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77,92</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96,1</w:t>
            </w:r>
          </w:p>
        </w:tc>
      </w:tr>
      <w:tr w:rsidR="007015C8" w:rsidRPr="00991D43" w:rsidTr="008435A5">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p>
        </w:tc>
        <w:tc>
          <w:tcPr>
            <w:tcW w:w="150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p>
        </w:tc>
        <w:tc>
          <w:tcPr>
            <w:tcW w:w="142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100,00</w:t>
            </w:r>
          </w:p>
        </w:tc>
        <w:tc>
          <w:tcPr>
            <w:tcW w:w="1440" w:type="dxa"/>
            <w:tcBorders>
              <w:top w:val="nil"/>
              <w:left w:val="nil"/>
              <w:bottom w:val="single" w:sz="4" w:space="0" w:color="auto"/>
              <w:right w:val="single" w:sz="4" w:space="0" w:color="auto"/>
            </w:tcBorders>
            <w:shd w:val="clear" w:color="auto" w:fill="auto"/>
            <w:noWrap/>
            <w:vAlign w:val="bottom"/>
            <w:hideMark/>
          </w:tcPr>
          <w:p w:rsidR="007015C8" w:rsidRPr="00A249BB" w:rsidRDefault="007015C8" w:rsidP="008435A5">
            <w:pPr>
              <w:spacing w:after="0" w:line="240" w:lineRule="auto"/>
              <w:jc w:val="center"/>
              <w:rPr>
                <w:rFonts w:ascii="Arial" w:eastAsia="Times New Roman" w:hAnsi="Arial" w:cs="Arial"/>
                <w:color w:val="404040" w:themeColor="text1" w:themeTint="BF"/>
                <w:sz w:val="16"/>
                <w:szCs w:val="16"/>
                <w:lang w:eastAsia="ru-RU"/>
              </w:rPr>
            </w:pPr>
            <w:r w:rsidRPr="00A249BB">
              <w:rPr>
                <w:rFonts w:ascii="Arial" w:eastAsia="Times New Roman" w:hAnsi="Arial" w:cs="Arial"/>
                <w:color w:val="404040" w:themeColor="text1" w:themeTint="BF"/>
                <w:sz w:val="16"/>
                <w:szCs w:val="16"/>
                <w:lang w:eastAsia="ru-RU"/>
              </w:rPr>
              <w:t>100</w:t>
            </w:r>
          </w:p>
        </w:tc>
      </w:tr>
    </w:tbl>
    <w:p w:rsidR="00ED2477" w:rsidRDefault="00ED2477">
      <w:pPr>
        <w:rPr>
          <w:rFonts w:ascii="Arial" w:eastAsia="Times New Roman" w:hAnsi="Arial" w:cs="Arial"/>
          <w:b/>
          <w:i/>
          <w:color w:val="3B3B3B"/>
          <w:sz w:val="20"/>
          <w:szCs w:val="20"/>
          <w:lang w:eastAsia="ru-RU"/>
        </w:rPr>
      </w:pPr>
      <w:r>
        <w:rPr>
          <w:rFonts w:ascii="Arial" w:hAnsi="Arial" w:cs="Arial"/>
          <w:b/>
          <w:i/>
          <w:color w:val="3B3B3B"/>
          <w:sz w:val="20"/>
        </w:rPr>
        <w:br w:type="page"/>
      </w:r>
    </w:p>
    <w:p w:rsidR="007015C8" w:rsidRPr="00D34FA3" w:rsidRDefault="007015C8" w:rsidP="007015C8">
      <w:pPr>
        <w:pStyle w:val="ab"/>
        <w:spacing w:before="360" w:after="240"/>
        <w:ind w:left="851" w:right="283"/>
        <w:rPr>
          <w:rFonts w:ascii="Arial" w:hAnsi="Arial" w:cs="Arial"/>
          <w:b/>
          <w:color w:val="3B3B3B"/>
          <w:sz w:val="22"/>
          <w:szCs w:val="22"/>
        </w:rPr>
      </w:pPr>
      <w:r>
        <w:rPr>
          <w:rFonts w:ascii="Arial" w:hAnsi="Arial" w:cs="Arial"/>
          <w:b/>
          <w:color w:val="3B3B3B"/>
          <w:sz w:val="22"/>
          <w:szCs w:val="22"/>
        </w:rPr>
        <w:lastRenderedPageBreak/>
        <w:t>ВЫВОДЫ:</w:t>
      </w:r>
    </w:p>
    <w:p w:rsidR="007015C8" w:rsidRPr="00DA3240"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 xml:space="preserve">Наибольшее неравенство доходов среди работников отраслей экономики России наблюдается в сфере </w:t>
      </w:r>
      <w:r w:rsidR="00E11697">
        <w:rPr>
          <w:rFonts w:ascii="Arial" w:hAnsi="Arial" w:cs="Arial"/>
          <w:b/>
          <w:i/>
          <w:color w:val="3B3B3B"/>
          <w:sz w:val="20"/>
        </w:rPr>
        <w:t>р</w:t>
      </w:r>
      <w:r w:rsidRPr="00AE107D">
        <w:rPr>
          <w:rFonts w:ascii="Arial" w:hAnsi="Arial" w:cs="Arial"/>
          <w:b/>
          <w:i/>
          <w:color w:val="3B3B3B"/>
          <w:sz w:val="20"/>
        </w:rPr>
        <w:t>ыболовства и рыбоводства.</w:t>
      </w:r>
      <w:r>
        <w:rPr>
          <w:rFonts w:ascii="Arial" w:hAnsi="Arial" w:cs="Arial"/>
          <w:color w:val="3B3B3B"/>
          <w:sz w:val="20"/>
        </w:rPr>
        <w:t xml:space="preserve"> Коэффициент Джини для этой отрасли равен </w:t>
      </w:r>
      <w:r w:rsidRPr="00991D43">
        <w:rPr>
          <w:rFonts w:ascii="Arial" w:hAnsi="Arial" w:cs="Arial"/>
          <w:b/>
          <w:color w:val="660033"/>
          <w:sz w:val="20"/>
        </w:rPr>
        <w:t>0,486</w:t>
      </w:r>
      <w:r>
        <w:rPr>
          <w:rFonts w:ascii="Arial" w:hAnsi="Arial" w:cs="Arial"/>
          <w:color w:val="3B3B3B"/>
          <w:sz w:val="20"/>
        </w:rPr>
        <w:t>.</w:t>
      </w:r>
    </w:p>
    <w:p w:rsidR="007015C8"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 xml:space="preserve">В </w:t>
      </w:r>
      <w:r w:rsidRPr="00DA3240">
        <w:rPr>
          <w:rFonts w:ascii="Arial" w:hAnsi="Arial" w:cs="Arial"/>
          <w:color w:val="3B3B3B"/>
          <w:sz w:val="20"/>
        </w:rPr>
        <w:t>сфере</w:t>
      </w:r>
      <w:r>
        <w:t xml:space="preserve"> </w:t>
      </w:r>
      <w:r w:rsidR="00E11697">
        <w:rPr>
          <w:rFonts w:ascii="Arial" w:hAnsi="Arial" w:cs="Arial"/>
          <w:b/>
          <w:i/>
          <w:color w:val="3B3B3B"/>
          <w:sz w:val="20"/>
        </w:rPr>
        <w:t>р</w:t>
      </w:r>
      <w:r w:rsidRPr="00AE107D">
        <w:rPr>
          <w:rFonts w:ascii="Arial" w:hAnsi="Arial" w:cs="Arial"/>
          <w:b/>
          <w:i/>
          <w:color w:val="3B3B3B"/>
          <w:sz w:val="20"/>
        </w:rPr>
        <w:t>ыболовства и рыбоводства</w:t>
      </w:r>
      <w:r>
        <w:t xml:space="preserve"> </w:t>
      </w:r>
      <w:r w:rsidRPr="00991D43">
        <w:rPr>
          <w:rFonts w:ascii="Arial" w:hAnsi="Arial" w:cs="Arial"/>
          <w:b/>
          <w:color w:val="660033"/>
          <w:sz w:val="20"/>
        </w:rPr>
        <w:t>12,4%</w:t>
      </w:r>
      <w:r w:rsidRPr="00991D43">
        <w:rPr>
          <w:rFonts w:ascii="Arial" w:hAnsi="Arial" w:cs="Arial"/>
          <w:color w:val="660033"/>
          <w:sz w:val="20"/>
        </w:rPr>
        <w:t xml:space="preserve"> </w:t>
      </w:r>
      <w:r w:rsidRPr="00DA3240">
        <w:rPr>
          <w:rFonts w:ascii="Arial" w:hAnsi="Arial" w:cs="Arial"/>
          <w:color w:val="3B3B3B"/>
          <w:sz w:val="20"/>
        </w:rPr>
        <w:t xml:space="preserve">самых высокооплачиваемых сотрудников получают </w:t>
      </w:r>
      <w:r w:rsidRPr="00991D43">
        <w:rPr>
          <w:rFonts w:ascii="Arial" w:hAnsi="Arial" w:cs="Arial"/>
          <w:b/>
          <w:color w:val="660033"/>
          <w:sz w:val="20"/>
        </w:rPr>
        <w:t>40%</w:t>
      </w:r>
      <w:r w:rsidRPr="00991D43">
        <w:rPr>
          <w:rFonts w:ascii="Arial" w:hAnsi="Arial" w:cs="Arial"/>
          <w:color w:val="660033"/>
          <w:sz w:val="20"/>
        </w:rPr>
        <w:t xml:space="preserve"> </w:t>
      </w:r>
      <w:r w:rsidR="00ED2477">
        <w:rPr>
          <w:rFonts w:ascii="Arial" w:hAnsi="Arial" w:cs="Arial"/>
          <w:color w:val="3B3B3B"/>
          <w:sz w:val="20"/>
        </w:rPr>
        <w:t>совокупного дохода.</w:t>
      </w:r>
    </w:p>
    <w:p w:rsidR="007015C8"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 xml:space="preserve">В тройке лидеров по наибольшей дифференциации доходов – </w:t>
      </w:r>
      <w:r w:rsidR="00E11697">
        <w:rPr>
          <w:rFonts w:ascii="Arial" w:hAnsi="Arial" w:cs="Arial"/>
          <w:b/>
          <w:i/>
          <w:color w:val="3B3B3B"/>
          <w:sz w:val="20"/>
        </w:rPr>
        <w:t>д</w:t>
      </w:r>
      <w:r w:rsidRPr="00AE107D">
        <w:rPr>
          <w:rFonts w:ascii="Arial" w:hAnsi="Arial" w:cs="Arial"/>
          <w:b/>
          <w:i/>
          <w:color w:val="3B3B3B"/>
          <w:sz w:val="20"/>
        </w:rPr>
        <w:t>еятельность по организации отдыха, развлечений, культуры и спорта</w:t>
      </w:r>
      <w:r w:rsidRPr="00AE107D">
        <w:rPr>
          <w:rFonts w:ascii="Arial" w:hAnsi="Arial" w:cs="Arial"/>
          <w:b/>
          <w:color w:val="3B3B3B"/>
          <w:sz w:val="20"/>
        </w:rPr>
        <w:t xml:space="preserve"> </w:t>
      </w:r>
      <w:r w:rsidRPr="00D45D69">
        <w:rPr>
          <w:rFonts w:ascii="Arial" w:hAnsi="Arial" w:cs="Arial"/>
          <w:color w:val="3B3B3B"/>
          <w:sz w:val="20"/>
        </w:rPr>
        <w:t>(</w:t>
      </w:r>
      <w:r>
        <w:rPr>
          <w:rFonts w:ascii="Arial" w:hAnsi="Arial" w:cs="Arial"/>
          <w:color w:val="3B3B3B"/>
          <w:sz w:val="20"/>
        </w:rPr>
        <w:t xml:space="preserve">коэффициент Джини </w:t>
      </w:r>
      <w:r w:rsidRPr="00991D43">
        <w:rPr>
          <w:rFonts w:ascii="Arial" w:hAnsi="Arial" w:cs="Arial"/>
          <w:b/>
          <w:color w:val="660033"/>
          <w:sz w:val="20"/>
        </w:rPr>
        <w:t>0,417</w:t>
      </w:r>
      <w:r>
        <w:rPr>
          <w:rFonts w:ascii="Arial" w:hAnsi="Arial" w:cs="Arial"/>
          <w:color w:val="3B3B3B"/>
          <w:sz w:val="20"/>
        </w:rPr>
        <w:t xml:space="preserve">) и </w:t>
      </w:r>
      <w:r w:rsidR="00E11697">
        <w:rPr>
          <w:rFonts w:ascii="Arial" w:hAnsi="Arial" w:cs="Arial"/>
          <w:b/>
          <w:i/>
          <w:color w:val="3B3B3B"/>
          <w:sz w:val="20"/>
        </w:rPr>
        <w:t>д</w:t>
      </w:r>
      <w:r w:rsidRPr="00AE107D">
        <w:rPr>
          <w:rFonts w:ascii="Arial" w:hAnsi="Arial" w:cs="Arial"/>
          <w:b/>
          <w:i/>
          <w:color w:val="3B3B3B"/>
          <w:sz w:val="20"/>
        </w:rPr>
        <w:t>еятельность по предоставлению коммунальных</w:t>
      </w:r>
      <w:r w:rsidRPr="00AE107D">
        <w:rPr>
          <w:rFonts w:ascii="Arial" w:hAnsi="Arial" w:cs="Arial"/>
          <w:b/>
          <w:color w:val="3B3B3B"/>
          <w:sz w:val="20"/>
        </w:rPr>
        <w:t xml:space="preserve"> </w:t>
      </w:r>
      <w:r w:rsidRPr="00AE107D">
        <w:rPr>
          <w:rFonts w:ascii="Arial" w:hAnsi="Arial" w:cs="Arial"/>
          <w:b/>
          <w:i/>
          <w:color w:val="3B3B3B"/>
          <w:sz w:val="20"/>
        </w:rPr>
        <w:t>услуг</w:t>
      </w:r>
      <w:r>
        <w:rPr>
          <w:rFonts w:ascii="Arial" w:hAnsi="Arial" w:cs="Arial"/>
          <w:color w:val="3B3B3B"/>
          <w:sz w:val="20"/>
        </w:rPr>
        <w:t xml:space="preserve"> (</w:t>
      </w:r>
      <w:r w:rsidRPr="00991D43">
        <w:rPr>
          <w:rFonts w:ascii="Arial" w:hAnsi="Arial" w:cs="Arial"/>
          <w:b/>
          <w:color w:val="660033"/>
          <w:sz w:val="20"/>
        </w:rPr>
        <w:t>0,412</w:t>
      </w:r>
      <w:r>
        <w:rPr>
          <w:rFonts w:ascii="Arial" w:hAnsi="Arial" w:cs="Arial"/>
          <w:color w:val="3B3B3B"/>
          <w:sz w:val="20"/>
        </w:rPr>
        <w:t>).</w:t>
      </w:r>
    </w:p>
    <w:p w:rsidR="007015C8"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 xml:space="preserve">Наиболее «справедливо» распределяются доходы в сфере </w:t>
      </w:r>
      <w:r w:rsidR="00E11697">
        <w:rPr>
          <w:rFonts w:ascii="Arial" w:hAnsi="Arial" w:cs="Arial"/>
          <w:b/>
          <w:i/>
          <w:color w:val="3B3B3B"/>
          <w:sz w:val="20"/>
        </w:rPr>
        <w:t>д</w:t>
      </w:r>
      <w:r w:rsidRPr="00AE107D">
        <w:rPr>
          <w:rFonts w:ascii="Arial" w:hAnsi="Arial" w:cs="Arial"/>
          <w:b/>
          <w:i/>
          <w:color w:val="3B3B3B"/>
          <w:sz w:val="20"/>
        </w:rPr>
        <w:t>обычи полезных ископаемых</w:t>
      </w:r>
      <w:r>
        <w:rPr>
          <w:rFonts w:ascii="Arial" w:hAnsi="Arial" w:cs="Arial"/>
          <w:color w:val="3B3B3B"/>
          <w:sz w:val="20"/>
        </w:rPr>
        <w:t xml:space="preserve">. Там коэффициент дифференциации доходов равен </w:t>
      </w:r>
      <w:r w:rsidRPr="00AE107D">
        <w:rPr>
          <w:rFonts w:ascii="Arial" w:hAnsi="Arial" w:cs="Arial"/>
          <w:b/>
          <w:color w:val="660033"/>
          <w:sz w:val="20"/>
        </w:rPr>
        <w:t>0,314</w:t>
      </w:r>
      <w:r>
        <w:rPr>
          <w:rFonts w:ascii="Arial" w:hAnsi="Arial" w:cs="Arial"/>
          <w:color w:val="3B3B3B"/>
          <w:sz w:val="20"/>
        </w:rPr>
        <w:t xml:space="preserve">, а чуть больше </w:t>
      </w:r>
      <w:r w:rsidRPr="00AE107D">
        <w:rPr>
          <w:rFonts w:ascii="Arial" w:hAnsi="Arial" w:cs="Arial"/>
          <w:b/>
          <w:color w:val="660033"/>
          <w:sz w:val="20"/>
        </w:rPr>
        <w:t>40%</w:t>
      </w:r>
      <w:r w:rsidRPr="00AE107D">
        <w:rPr>
          <w:rFonts w:ascii="Arial" w:hAnsi="Arial" w:cs="Arial"/>
          <w:color w:val="660033"/>
          <w:sz w:val="20"/>
        </w:rPr>
        <w:t xml:space="preserve"> </w:t>
      </w:r>
      <w:r w:rsidRPr="00DA3240">
        <w:rPr>
          <w:rFonts w:ascii="Arial" w:hAnsi="Arial" w:cs="Arial"/>
          <w:color w:val="3B3B3B"/>
          <w:sz w:val="20"/>
        </w:rPr>
        <w:t xml:space="preserve">совокупного дохода получают уже </w:t>
      </w:r>
      <w:r w:rsidRPr="00AE107D">
        <w:rPr>
          <w:rFonts w:ascii="Arial" w:hAnsi="Arial" w:cs="Arial"/>
          <w:b/>
          <w:color w:val="660033"/>
          <w:sz w:val="20"/>
        </w:rPr>
        <w:t>22,1%</w:t>
      </w:r>
      <w:r w:rsidRPr="00AE107D">
        <w:rPr>
          <w:rFonts w:ascii="Arial" w:hAnsi="Arial" w:cs="Arial"/>
          <w:color w:val="660033"/>
          <w:sz w:val="20"/>
        </w:rPr>
        <w:t xml:space="preserve"> </w:t>
      </w:r>
      <w:r w:rsidRPr="00DA3240">
        <w:rPr>
          <w:rFonts w:ascii="Arial" w:hAnsi="Arial" w:cs="Arial"/>
          <w:color w:val="3B3B3B"/>
          <w:sz w:val="20"/>
        </w:rPr>
        <w:t>сотрудников.</w:t>
      </w:r>
    </w:p>
    <w:p w:rsidR="007015C8"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За два последних года (с 2013 по 2015 год</w:t>
      </w:r>
      <w:r w:rsidR="00D45D69">
        <w:rPr>
          <w:rFonts w:ascii="Arial" w:hAnsi="Arial" w:cs="Arial"/>
          <w:color w:val="3B3B3B"/>
          <w:sz w:val="20"/>
        </w:rPr>
        <w:t>ы</w:t>
      </w:r>
      <w:r>
        <w:rPr>
          <w:rFonts w:ascii="Arial" w:hAnsi="Arial" w:cs="Arial"/>
          <w:color w:val="3B3B3B"/>
          <w:sz w:val="20"/>
        </w:rPr>
        <w:t xml:space="preserve">) степень расслоения </w:t>
      </w:r>
      <w:r w:rsidR="00E11697">
        <w:rPr>
          <w:rFonts w:ascii="Arial" w:hAnsi="Arial" w:cs="Arial"/>
          <w:color w:val="3B3B3B"/>
          <w:sz w:val="20"/>
        </w:rPr>
        <w:t xml:space="preserve">уровня </w:t>
      </w:r>
      <w:r>
        <w:rPr>
          <w:rFonts w:ascii="Arial" w:hAnsi="Arial" w:cs="Arial"/>
          <w:color w:val="3B3B3B"/>
          <w:sz w:val="20"/>
        </w:rPr>
        <w:t>доходов изменилась во многих сферах экономики.</w:t>
      </w:r>
    </w:p>
    <w:p w:rsidR="007015C8"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Н</w:t>
      </w:r>
      <w:r w:rsidRPr="00DA3240">
        <w:rPr>
          <w:rFonts w:ascii="Arial" w:hAnsi="Arial" w:cs="Arial"/>
          <w:color w:val="3B3B3B"/>
          <w:sz w:val="20"/>
        </w:rPr>
        <w:t xml:space="preserve">еравенство в распределении заработных плат </w:t>
      </w:r>
      <w:r>
        <w:rPr>
          <w:rFonts w:ascii="Arial" w:hAnsi="Arial" w:cs="Arial"/>
          <w:color w:val="3B3B3B"/>
          <w:sz w:val="20"/>
        </w:rPr>
        <w:t>(</w:t>
      </w:r>
      <w:r w:rsidR="00D45D69">
        <w:rPr>
          <w:rFonts w:ascii="Arial" w:hAnsi="Arial" w:cs="Arial"/>
          <w:color w:val="3B3B3B"/>
          <w:sz w:val="20"/>
        </w:rPr>
        <w:t xml:space="preserve">согласно </w:t>
      </w:r>
      <w:r>
        <w:rPr>
          <w:rFonts w:ascii="Arial" w:hAnsi="Arial" w:cs="Arial"/>
          <w:color w:val="3B3B3B"/>
          <w:sz w:val="20"/>
        </w:rPr>
        <w:t>коэффициент</w:t>
      </w:r>
      <w:r w:rsidR="00D45D69">
        <w:rPr>
          <w:rFonts w:ascii="Arial" w:hAnsi="Arial" w:cs="Arial"/>
          <w:color w:val="3B3B3B"/>
          <w:sz w:val="20"/>
        </w:rPr>
        <w:t>у</w:t>
      </w:r>
      <w:r>
        <w:rPr>
          <w:rFonts w:ascii="Arial" w:hAnsi="Arial" w:cs="Arial"/>
          <w:color w:val="3B3B3B"/>
          <w:sz w:val="20"/>
        </w:rPr>
        <w:t xml:space="preserve"> </w:t>
      </w:r>
      <w:proofErr w:type="spellStart"/>
      <w:r>
        <w:rPr>
          <w:rFonts w:ascii="Arial" w:hAnsi="Arial" w:cs="Arial"/>
          <w:color w:val="3B3B3B"/>
          <w:sz w:val="20"/>
        </w:rPr>
        <w:t>Джини</w:t>
      </w:r>
      <w:proofErr w:type="spellEnd"/>
      <w:r>
        <w:rPr>
          <w:rFonts w:ascii="Arial" w:hAnsi="Arial" w:cs="Arial"/>
          <w:color w:val="3B3B3B"/>
          <w:sz w:val="20"/>
        </w:rPr>
        <w:t xml:space="preserve">) значительно выросло в сферах </w:t>
      </w:r>
      <w:r w:rsidR="00E11697" w:rsidRPr="00E11697">
        <w:rPr>
          <w:rFonts w:ascii="Arial" w:hAnsi="Arial" w:cs="Arial"/>
          <w:b/>
          <w:i/>
          <w:color w:val="3B3B3B"/>
          <w:sz w:val="20"/>
        </w:rPr>
        <w:t>р</w:t>
      </w:r>
      <w:r w:rsidRPr="00AE107D">
        <w:rPr>
          <w:rFonts w:ascii="Arial" w:hAnsi="Arial" w:cs="Arial"/>
          <w:b/>
          <w:i/>
          <w:color w:val="3B3B3B"/>
          <w:sz w:val="20"/>
        </w:rPr>
        <w:t xml:space="preserve">ыболовства, рыбоводства </w:t>
      </w:r>
      <w:r w:rsidRPr="00AE107D">
        <w:rPr>
          <w:rFonts w:ascii="Arial" w:hAnsi="Arial" w:cs="Arial"/>
          <w:b/>
          <w:color w:val="660033"/>
          <w:sz w:val="20"/>
        </w:rPr>
        <w:t>(+15,3%),</w:t>
      </w:r>
      <w:r w:rsidRPr="00AE107D">
        <w:rPr>
          <w:rFonts w:ascii="Arial" w:hAnsi="Arial" w:cs="Arial"/>
          <w:color w:val="660033"/>
          <w:sz w:val="20"/>
        </w:rPr>
        <w:t xml:space="preserve"> </w:t>
      </w:r>
      <w:r w:rsidR="00E11697">
        <w:rPr>
          <w:rFonts w:ascii="Arial" w:hAnsi="Arial" w:cs="Arial"/>
          <w:b/>
          <w:i/>
          <w:color w:val="3B3B3B"/>
          <w:sz w:val="20"/>
        </w:rPr>
        <w:t>г</w:t>
      </w:r>
      <w:r w:rsidRPr="00AE107D">
        <w:rPr>
          <w:rFonts w:ascii="Arial" w:hAnsi="Arial" w:cs="Arial"/>
          <w:b/>
          <w:i/>
          <w:color w:val="3B3B3B"/>
          <w:sz w:val="20"/>
        </w:rPr>
        <w:t>остиничного и ресторанного бизнеса</w:t>
      </w:r>
      <w:r w:rsidRPr="00DA3240">
        <w:rPr>
          <w:rFonts w:ascii="Arial" w:hAnsi="Arial" w:cs="Arial"/>
          <w:color w:val="3B3B3B"/>
          <w:sz w:val="20"/>
        </w:rPr>
        <w:t xml:space="preserve"> </w:t>
      </w:r>
      <w:r w:rsidRPr="00AE107D">
        <w:rPr>
          <w:rFonts w:ascii="Arial" w:hAnsi="Arial" w:cs="Arial"/>
          <w:b/>
          <w:color w:val="660033"/>
          <w:sz w:val="20"/>
        </w:rPr>
        <w:t>(+4,82%)</w:t>
      </w:r>
      <w:r w:rsidRPr="00AE107D">
        <w:rPr>
          <w:rFonts w:ascii="Arial" w:hAnsi="Arial" w:cs="Arial"/>
          <w:color w:val="660033"/>
          <w:sz w:val="20"/>
        </w:rPr>
        <w:t xml:space="preserve"> </w:t>
      </w:r>
      <w:r w:rsidRPr="00DA3240">
        <w:rPr>
          <w:rFonts w:ascii="Arial" w:hAnsi="Arial" w:cs="Arial"/>
          <w:color w:val="3B3B3B"/>
          <w:sz w:val="20"/>
        </w:rPr>
        <w:t xml:space="preserve">и </w:t>
      </w:r>
      <w:r w:rsidR="00E11697" w:rsidRPr="00E11697">
        <w:rPr>
          <w:rFonts w:ascii="Arial" w:hAnsi="Arial" w:cs="Arial"/>
          <w:b/>
          <w:i/>
          <w:color w:val="3B3B3B"/>
          <w:sz w:val="20"/>
        </w:rPr>
        <w:t>с</w:t>
      </w:r>
      <w:r w:rsidRPr="00AE107D">
        <w:rPr>
          <w:rFonts w:ascii="Arial" w:hAnsi="Arial" w:cs="Arial"/>
          <w:b/>
          <w:i/>
          <w:color w:val="3B3B3B"/>
          <w:sz w:val="20"/>
        </w:rPr>
        <w:t>троительства</w:t>
      </w:r>
      <w:r w:rsidRPr="00DA3240">
        <w:rPr>
          <w:rFonts w:ascii="Arial" w:hAnsi="Arial" w:cs="Arial"/>
          <w:color w:val="3B3B3B"/>
          <w:sz w:val="20"/>
        </w:rPr>
        <w:t xml:space="preserve"> </w:t>
      </w:r>
      <w:r w:rsidRPr="00AE107D">
        <w:rPr>
          <w:rFonts w:ascii="Arial" w:hAnsi="Arial" w:cs="Arial"/>
          <w:b/>
          <w:color w:val="660033"/>
          <w:sz w:val="20"/>
        </w:rPr>
        <w:t>(+3,66%).</w:t>
      </w:r>
    </w:p>
    <w:p w:rsidR="007015C8" w:rsidRDefault="00D45D69" w:rsidP="007015C8">
      <w:pPr>
        <w:pStyle w:val="ab"/>
        <w:numPr>
          <w:ilvl w:val="0"/>
          <w:numId w:val="3"/>
        </w:numPr>
        <w:ind w:right="283"/>
        <w:rPr>
          <w:rFonts w:ascii="Arial" w:hAnsi="Arial" w:cs="Arial"/>
          <w:color w:val="3B3B3B"/>
          <w:sz w:val="20"/>
        </w:rPr>
      </w:pPr>
      <w:r>
        <w:rPr>
          <w:rFonts w:ascii="Arial" w:hAnsi="Arial" w:cs="Arial"/>
          <w:color w:val="3B3B3B"/>
          <w:sz w:val="20"/>
        </w:rPr>
        <w:t>Более «справедливым</w:t>
      </w:r>
      <w:r w:rsidR="007015C8" w:rsidRPr="00DA3240">
        <w:rPr>
          <w:rFonts w:ascii="Arial" w:hAnsi="Arial" w:cs="Arial"/>
          <w:color w:val="3B3B3B"/>
          <w:sz w:val="20"/>
        </w:rPr>
        <w:t xml:space="preserve">» распределение заработных плат стало в </w:t>
      </w:r>
      <w:r w:rsidR="00E11697">
        <w:rPr>
          <w:rFonts w:ascii="Arial" w:hAnsi="Arial" w:cs="Arial"/>
          <w:b/>
          <w:i/>
          <w:color w:val="3B3B3B"/>
          <w:sz w:val="20"/>
        </w:rPr>
        <w:t>з</w:t>
      </w:r>
      <w:r w:rsidR="007015C8" w:rsidRPr="00AE107D">
        <w:rPr>
          <w:rFonts w:ascii="Arial" w:hAnsi="Arial" w:cs="Arial"/>
          <w:b/>
          <w:i/>
          <w:color w:val="3B3B3B"/>
          <w:sz w:val="20"/>
        </w:rPr>
        <w:t>дравоохранении и предоставлении социальных услуг</w:t>
      </w:r>
      <w:r w:rsidR="007015C8" w:rsidRPr="00DA3240">
        <w:rPr>
          <w:rFonts w:ascii="Arial" w:hAnsi="Arial" w:cs="Arial"/>
          <w:color w:val="3B3B3B"/>
          <w:sz w:val="20"/>
        </w:rPr>
        <w:t xml:space="preserve"> </w:t>
      </w:r>
      <w:r w:rsidR="007015C8" w:rsidRPr="00AE107D">
        <w:rPr>
          <w:rFonts w:ascii="Arial" w:hAnsi="Arial" w:cs="Arial"/>
          <w:b/>
          <w:color w:val="660033"/>
          <w:sz w:val="20"/>
        </w:rPr>
        <w:t>(-3,47%),</w:t>
      </w:r>
      <w:r w:rsidR="007015C8" w:rsidRPr="00DA3240">
        <w:rPr>
          <w:rFonts w:ascii="Arial" w:hAnsi="Arial" w:cs="Arial"/>
          <w:color w:val="3B3B3B"/>
          <w:sz w:val="20"/>
        </w:rPr>
        <w:t xml:space="preserve"> в сфере </w:t>
      </w:r>
      <w:r w:rsidR="00E11697">
        <w:rPr>
          <w:rFonts w:ascii="Arial" w:hAnsi="Arial" w:cs="Arial"/>
          <w:b/>
          <w:i/>
          <w:color w:val="3B3B3B"/>
          <w:sz w:val="20"/>
        </w:rPr>
        <w:t>о</w:t>
      </w:r>
      <w:r w:rsidR="007015C8" w:rsidRPr="00AE107D">
        <w:rPr>
          <w:rFonts w:ascii="Arial" w:hAnsi="Arial" w:cs="Arial"/>
          <w:b/>
          <w:i/>
          <w:color w:val="3B3B3B"/>
          <w:sz w:val="20"/>
        </w:rPr>
        <w:t xml:space="preserve">птовой и розничной торговли автотранспортными средствами </w:t>
      </w:r>
      <w:r w:rsidR="007015C8" w:rsidRPr="00AE107D">
        <w:rPr>
          <w:rFonts w:ascii="Arial" w:hAnsi="Arial" w:cs="Arial"/>
          <w:b/>
          <w:color w:val="660033"/>
          <w:sz w:val="20"/>
        </w:rPr>
        <w:t>(-2,27%),</w:t>
      </w:r>
      <w:r w:rsidR="007015C8" w:rsidRPr="00DA3240">
        <w:rPr>
          <w:rFonts w:ascii="Arial" w:hAnsi="Arial" w:cs="Arial"/>
          <w:color w:val="3B3B3B"/>
          <w:sz w:val="20"/>
        </w:rPr>
        <w:t xml:space="preserve"> в </w:t>
      </w:r>
      <w:r w:rsidR="00E11697">
        <w:rPr>
          <w:rFonts w:ascii="Arial" w:hAnsi="Arial" w:cs="Arial"/>
          <w:b/>
          <w:i/>
          <w:color w:val="3B3B3B"/>
          <w:sz w:val="20"/>
        </w:rPr>
        <w:t>с</w:t>
      </w:r>
      <w:r w:rsidR="007015C8" w:rsidRPr="00AE107D">
        <w:rPr>
          <w:rFonts w:ascii="Arial" w:hAnsi="Arial" w:cs="Arial"/>
          <w:b/>
          <w:i/>
          <w:color w:val="3B3B3B"/>
          <w:sz w:val="20"/>
        </w:rPr>
        <w:t>фере научных исследований и</w:t>
      </w:r>
      <w:r w:rsidR="007015C8" w:rsidRPr="00DA3240">
        <w:rPr>
          <w:rFonts w:ascii="Arial" w:hAnsi="Arial" w:cs="Arial"/>
          <w:color w:val="3B3B3B"/>
          <w:sz w:val="20"/>
        </w:rPr>
        <w:t xml:space="preserve"> </w:t>
      </w:r>
      <w:r w:rsidR="007015C8" w:rsidRPr="00D45D69">
        <w:rPr>
          <w:rFonts w:ascii="Arial" w:hAnsi="Arial" w:cs="Arial"/>
          <w:b/>
          <w:i/>
          <w:color w:val="3B3B3B"/>
          <w:sz w:val="20"/>
        </w:rPr>
        <w:t>разработок</w:t>
      </w:r>
      <w:r w:rsidR="007015C8" w:rsidRPr="00DA3240">
        <w:rPr>
          <w:rFonts w:ascii="Arial" w:hAnsi="Arial" w:cs="Arial"/>
          <w:color w:val="3B3B3B"/>
          <w:sz w:val="20"/>
        </w:rPr>
        <w:t xml:space="preserve"> </w:t>
      </w:r>
      <w:r w:rsidR="007015C8" w:rsidRPr="00AE107D">
        <w:rPr>
          <w:rFonts w:ascii="Arial" w:hAnsi="Arial" w:cs="Arial"/>
          <w:b/>
          <w:color w:val="660033"/>
          <w:sz w:val="20"/>
        </w:rPr>
        <w:t>(-2,16%).</w:t>
      </w:r>
    </w:p>
    <w:p w:rsidR="007015C8" w:rsidRPr="00ED2477" w:rsidRDefault="007015C8" w:rsidP="007015C8">
      <w:pPr>
        <w:pStyle w:val="ab"/>
        <w:numPr>
          <w:ilvl w:val="0"/>
          <w:numId w:val="3"/>
        </w:numPr>
        <w:ind w:right="283"/>
        <w:rPr>
          <w:rFonts w:ascii="Arial" w:hAnsi="Arial" w:cs="Arial"/>
          <w:color w:val="3B3B3B"/>
          <w:sz w:val="20"/>
        </w:rPr>
      </w:pPr>
      <w:r>
        <w:rPr>
          <w:rFonts w:ascii="Arial" w:hAnsi="Arial" w:cs="Arial"/>
          <w:color w:val="3B3B3B"/>
          <w:sz w:val="20"/>
        </w:rPr>
        <w:t xml:space="preserve">Практически не изменилась дифференциация сотрудников по заработной плате в таких сферах как </w:t>
      </w:r>
      <w:r w:rsidR="00E11697">
        <w:rPr>
          <w:rFonts w:ascii="Arial" w:hAnsi="Arial" w:cs="Arial"/>
          <w:b/>
          <w:i/>
          <w:color w:val="3B3B3B"/>
          <w:sz w:val="20"/>
        </w:rPr>
        <w:t>о</w:t>
      </w:r>
      <w:r w:rsidRPr="00AE107D">
        <w:rPr>
          <w:rFonts w:ascii="Arial" w:hAnsi="Arial" w:cs="Arial"/>
          <w:b/>
          <w:i/>
          <w:color w:val="3B3B3B"/>
          <w:sz w:val="20"/>
        </w:rPr>
        <w:t xml:space="preserve">брабатывающие производства, </w:t>
      </w:r>
      <w:r w:rsidR="00E11697">
        <w:rPr>
          <w:rFonts w:ascii="Arial" w:hAnsi="Arial" w:cs="Arial"/>
          <w:b/>
          <w:i/>
          <w:color w:val="3B3B3B"/>
          <w:sz w:val="20"/>
        </w:rPr>
        <w:t>д</w:t>
      </w:r>
      <w:r w:rsidRPr="00AE107D">
        <w:rPr>
          <w:rFonts w:ascii="Arial" w:hAnsi="Arial" w:cs="Arial"/>
          <w:b/>
          <w:i/>
          <w:color w:val="3B3B3B"/>
          <w:sz w:val="20"/>
        </w:rPr>
        <w:t xml:space="preserve">обыча полезных ископаемых, </w:t>
      </w:r>
      <w:r w:rsidR="00E11697">
        <w:rPr>
          <w:rFonts w:ascii="Arial" w:hAnsi="Arial" w:cs="Arial"/>
          <w:b/>
          <w:i/>
          <w:color w:val="3B3B3B"/>
          <w:sz w:val="20"/>
        </w:rPr>
        <w:t>п</w:t>
      </w:r>
      <w:r w:rsidRPr="00AE107D">
        <w:rPr>
          <w:rFonts w:ascii="Arial" w:hAnsi="Arial" w:cs="Arial"/>
          <w:b/>
          <w:i/>
          <w:color w:val="3B3B3B"/>
          <w:sz w:val="20"/>
        </w:rPr>
        <w:t>ред</w:t>
      </w:r>
      <w:r w:rsidR="00D45D69">
        <w:rPr>
          <w:rFonts w:ascii="Arial" w:hAnsi="Arial" w:cs="Arial"/>
          <w:b/>
          <w:i/>
          <w:color w:val="3B3B3B"/>
          <w:sz w:val="20"/>
        </w:rPr>
        <w:t>о</w:t>
      </w:r>
      <w:r w:rsidRPr="00AE107D">
        <w:rPr>
          <w:rFonts w:ascii="Arial" w:hAnsi="Arial" w:cs="Arial"/>
          <w:b/>
          <w:i/>
          <w:color w:val="3B3B3B"/>
          <w:sz w:val="20"/>
        </w:rPr>
        <w:t xml:space="preserve">ставление коммунальных услуг, </w:t>
      </w:r>
      <w:r w:rsidR="00D45D69">
        <w:rPr>
          <w:rFonts w:ascii="Arial" w:hAnsi="Arial" w:cs="Arial"/>
          <w:b/>
          <w:i/>
          <w:color w:val="3B3B3B"/>
          <w:sz w:val="20"/>
        </w:rPr>
        <w:t xml:space="preserve">образование, </w:t>
      </w:r>
      <w:r w:rsidR="00E11697">
        <w:rPr>
          <w:rFonts w:ascii="Arial" w:hAnsi="Arial" w:cs="Arial"/>
          <w:b/>
          <w:i/>
          <w:color w:val="3B3B3B"/>
          <w:sz w:val="20"/>
        </w:rPr>
        <w:t>д</w:t>
      </w:r>
      <w:r w:rsidRPr="00AE107D">
        <w:rPr>
          <w:rFonts w:ascii="Arial" w:hAnsi="Arial" w:cs="Arial"/>
          <w:b/>
          <w:i/>
          <w:color w:val="3B3B3B"/>
          <w:sz w:val="20"/>
        </w:rPr>
        <w:t>еятельность по организации отдыха, р</w:t>
      </w:r>
      <w:r w:rsidR="00ED2477">
        <w:rPr>
          <w:rFonts w:ascii="Arial" w:hAnsi="Arial" w:cs="Arial"/>
          <w:b/>
          <w:i/>
          <w:color w:val="3B3B3B"/>
          <w:sz w:val="20"/>
        </w:rPr>
        <w:t>азвлечений и др.</w:t>
      </w:r>
    </w:p>
    <w:sectPr w:rsidR="007015C8" w:rsidRPr="00ED2477" w:rsidSect="009978B7">
      <w:footerReference w:type="default" r:id="rId13"/>
      <w:headerReference w:type="first" r:id="rId14"/>
      <w:pgSz w:w="11906" w:h="16838"/>
      <w:pgMar w:top="1134" w:right="851" w:bottom="1418"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0D5" w:rsidRDefault="000820D5" w:rsidP="00DC4B3C">
      <w:pPr>
        <w:spacing w:after="0" w:line="240" w:lineRule="auto"/>
      </w:pPr>
      <w:r>
        <w:separator/>
      </w:r>
    </w:p>
  </w:endnote>
  <w:endnote w:type="continuationSeparator" w:id="0">
    <w:p w:rsidR="000820D5" w:rsidRDefault="000820D5" w:rsidP="00DC4B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D5" w:rsidRDefault="000820D5">
    <w:pPr>
      <w:pStyle w:val="a5"/>
    </w:pPr>
    <w:r>
      <w:rPr>
        <w:noProof/>
        <w:lang w:eastAsia="ru-RU"/>
      </w:rPr>
      <w:drawing>
        <wp:anchor distT="0" distB="0" distL="114300" distR="114300" simplePos="0" relativeHeight="251659264" behindDoc="0" locked="0" layoutInCell="1" allowOverlap="1">
          <wp:simplePos x="541867" y="9810044"/>
          <wp:positionH relativeFrom="page">
            <wp:posOffset>0</wp:posOffset>
          </wp:positionH>
          <wp:positionV relativeFrom="page">
            <wp:posOffset>9839960</wp:posOffset>
          </wp:positionV>
          <wp:extent cx="7552266" cy="880534"/>
          <wp:effectExtent l="1905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otcheta_ru_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52266" cy="880534"/>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0D5" w:rsidRDefault="000820D5" w:rsidP="00DC4B3C">
      <w:pPr>
        <w:spacing w:after="0" w:line="240" w:lineRule="auto"/>
      </w:pPr>
      <w:r>
        <w:separator/>
      </w:r>
    </w:p>
  </w:footnote>
  <w:footnote w:type="continuationSeparator" w:id="0">
    <w:p w:rsidR="000820D5" w:rsidRDefault="000820D5" w:rsidP="00DC4B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D5" w:rsidRDefault="000820D5">
    <w:pPr>
      <w:pStyle w:val="a3"/>
    </w:pPr>
    <w:r>
      <w:rPr>
        <w:noProof/>
        <w:lang w:eastAsia="ru-RU"/>
      </w:rPr>
      <w:drawing>
        <wp:anchor distT="0" distB="0" distL="114300" distR="114300" simplePos="0" relativeHeight="251658240" behindDoc="0" locked="0" layoutInCell="1" allowOverlap="1">
          <wp:simplePos x="0" y="0"/>
          <wp:positionH relativeFrom="page">
            <wp:posOffset>-14605</wp:posOffset>
          </wp:positionH>
          <wp:positionV relativeFrom="page">
            <wp:posOffset>0</wp:posOffset>
          </wp:positionV>
          <wp:extent cx="7729220" cy="1501140"/>
          <wp:effectExtent l="19050" t="0" r="508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otcheta_ru_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729220" cy="1501140"/>
                  </a:xfrm>
                  <a:prstGeom prst="rect">
                    <a:avLst/>
                  </a:prstGeom>
                </pic:spPr>
              </pic:pic>
            </a:graphicData>
          </a:graphic>
        </wp:anchor>
      </w:drawing>
    </w:r>
  </w:p>
  <w:p w:rsidR="000820D5" w:rsidRDefault="000820D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B1F00"/>
    <w:multiLevelType w:val="hybridMultilevel"/>
    <w:tmpl w:val="E7CE7C8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9F0ED0"/>
    <w:multiLevelType w:val="hybridMultilevel"/>
    <w:tmpl w:val="DF8A3370"/>
    <w:lvl w:ilvl="0" w:tplc="0419000B">
      <w:start w:val="1"/>
      <w:numFmt w:val="bullet"/>
      <w:lvlText w:val=""/>
      <w:lvlJc w:val="left"/>
      <w:pPr>
        <w:ind w:left="720"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5AF1F0F"/>
    <w:multiLevelType w:val="hybridMultilevel"/>
    <w:tmpl w:val="13C6E0AA"/>
    <w:lvl w:ilvl="0" w:tplc="0E7895A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rsids>
    <w:rsidRoot w:val="00DC4B3C"/>
    <w:rsid w:val="00000343"/>
    <w:rsid w:val="000014C5"/>
    <w:rsid w:val="0000165B"/>
    <w:rsid w:val="00001972"/>
    <w:rsid w:val="00003AF6"/>
    <w:rsid w:val="000043D2"/>
    <w:rsid w:val="00004629"/>
    <w:rsid w:val="00005BBB"/>
    <w:rsid w:val="00006F1C"/>
    <w:rsid w:val="00006FBC"/>
    <w:rsid w:val="000073CE"/>
    <w:rsid w:val="0001155C"/>
    <w:rsid w:val="00011A82"/>
    <w:rsid w:val="00012816"/>
    <w:rsid w:val="00012B4D"/>
    <w:rsid w:val="00014CD4"/>
    <w:rsid w:val="00017A54"/>
    <w:rsid w:val="00017E0A"/>
    <w:rsid w:val="000204C6"/>
    <w:rsid w:val="00021BD8"/>
    <w:rsid w:val="0002276A"/>
    <w:rsid w:val="00023385"/>
    <w:rsid w:val="00023E68"/>
    <w:rsid w:val="000243C2"/>
    <w:rsid w:val="0002446E"/>
    <w:rsid w:val="00025E09"/>
    <w:rsid w:val="00027CDD"/>
    <w:rsid w:val="00027E72"/>
    <w:rsid w:val="00032941"/>
    <w:rsid w:val="00033A10"/>
    <w:rsid w:val="00036549"/>
    <w:rsid w:val="00036AF9"/>
    <w:rsid w:val="0003760C"/>
    <w:rsid w:val="000377C7"/>
    <w:rsid w:val="00037E92"/>
    <w:rsid w:val="00040433"/>
    <w:rsid w:val="000408BA"/>
    <w:rsid w:val="000432FF"/>
    <w:rsid w:val="00044037"/>
    <w:rsid w:val="00046199"/>
    <w:rsid w:val="00050FA5"/>
    <w:rsid w:val="00051996"/>
    <w:rsid w:val="0005305D"/>
    <w:rsid w:val="00053156"/>
    <w:rsid w:val="00053CD5"/>
    <w:rsid w:val="00054CFF"/>
    <w:rsid w:val="00054D0E"/>
    <w:rsid w:val="00055CF5"/>
    <w:rsid w:val="00057B5E"/>
    <w:rsid w:val="00057B67"/>
    <w:rsid w:val="000619F3"/>
    <w:rsid w:val="000621C7"/>
    <w:rsid w:val="000628D8"/>
    <w:rsid w:val="000639BD"/>
    <w:rsid w:val="00066D58"/>
    <w:rsid w:val="00067672"/>
    <w:rsid w:val="00071B07"/>
    <w:rsid w:val="0007305D"/>
    <w:rsid w:val="00073D2C"/>
    <w:rsid w:val="00073ECD"/>
    <w:rsid w:val="00076124"/>
    <w:rsid w:val="000777F1"/>
    <w:rsid w:val="00077B0C"/>
    <w:rsid w:val="00080659"/>
    <w:rsid w:val="00081329"/>
    <w:rsid w:val="000820D5"/>
    <w:rsid w:val="000837E5"/>
    <w:rsid w:val="00083FB2"/>
    <w:rsid w:val="00084038"/>
    <w:rsid w:val="0008658D"/>
    <w:rsid w:val="00087B73"/>
    <w:rsid w:val="000900B4"/>
    <w:rsid w:val="00092299"/>
    <w:rsid w:val="000924A0"/>
    <w:rsid w:val="00094085"/>
    <w:rsid w:val="00094BA8"/>
    <w:rsid w:val="0009610A"/>
    <w:rsid w:val="00097C1B"/>
    <w:rsid w:val="000A3354"/>
    <w:rsid w:val="000A363B"/>
    <w:rsid w:val="000A54B7"/>
    <w:rsid w:val="000A5593"/>
    <w:rsid w:val="000A6608"/>
    <w:rsid w:val="000A6D28"/>
    <w:rsid w:val="000B021D"/>
    <w:rsid w:val="000B1921"/>
    <w:rsid w:val="000B2258"/>
    <w:rsid w:val="000B2694"/>
    <w:rsid w:val="000B26A5"/>
    <w:rsid w:val="000B2E91"/>
    <w:rsid w:val="000B374D"/>
    <w:rsid w:val="000B47F6"/>
    <w:rsid w:val="000B536A"/>
    <w:rsid w:val="000B57DA"/>
    <w:rsid w:val="000B5C14"/>
    <w:rsid w:val="000C02C9"/>
    <w:rsid w:val="000C0FD9"/>
    <w:rsid w:val="000C1086"/>
    <w:rsid w:val="000C2AA2"/>
    <w:rsid w:val="000C31F3"/>
    <w:rsid w:val="000C350C"/>
    <w:rsid w:val="000C4FB4"/>
    <w:rsid w:val="000D0396"/>
    <w:rsid w:val="000D0F51"/>
    <w:rsid w:val="000D2088"/>
    <w:rsid w:val="000D219B"/>
    <w:rsid w:val="000D2E66"/>
    <w:rsid w:val="000D34D5"/>
    <w:rsid w:val="000D3565"/>
    <w:rsid w:val="000D5699"/>
    <w:rsid w:val="000D7BEF"/>
    <w:rsid w:val="000E0021"/>
    <w:rsid w:val="000E04D9"/>
    <w:rsid w:val="000E21F4"/>
    <w:rsid w:val="000E2683"/>
    <w:rsid w:val="000E49B5"/>
    <w:rsid w:val="000F2591"/>
    <w:rsid w:val="000F288F"/>
    <w:rsid w:val="000F39C6"/>
    <w:rsid w:val="000F3C4C"/>
    <w:rsid w:val="000F3EF3"/>
    <w:rsid w:val="000F400C"/>
    <w:rsid w:val="000F4615"/>
    <w:rsid w:val="000F5CF6"/>
    <w:rsid w:val="000F6009"/>
    <w:rsid w:val="000F7652"/>
    <w:rsid w:val="001010A1"/>
    <w:rsid w:val="001022E5"/>
    <w:rsid w:val="00104A00"/>
    <w:rsid w:val="00104D1F"/>
    <w:rsid w:val="0010540C"/>
    <w:rsid w:val="00105771"/>
    <w:rsid w:val="001061C1"/>
    <w:rsid w:val="001064C8"/>
    <w:rsid w:val="00106E12"/>
    <w:rsid w:val="0010766D"/>
    <w:rsid w:val="00111AF1"/>
    <w:rsid w:val="00111B7F"/>
    <w:rsid w:val="00112327"/>
    <w:rsid w:val="00113795"/>
    <w:rsid w:val="001138AA"/>
    <w:rsid w:val="001169EF"/>
    <w:rsid w:val="00117EC1"/>
    <w:rsid w:val="00125B5E"/>
    <w:rsid w:val="00126DEB"/>
    <w:rsid w:val="00126FB4"/>
    <w:rsid w:val="00131B45"/>
    <w:rsid w:val="00132E59"/>
    <w:rsid w:val="001330B9"/>
    <w:rsid w:val="00133849"/>
    <w:rsid w:val="00134F18"/>
    <w:rsid w:val="00136676"/>
    <w:rsid w:val="00140545"/>
    <w:rsid w:val="00143C0A"/>
    <w:rsid w:val="00145039"/>
    <w:rsid w:val="00145754"/>
    <w:rsid w:val="001462D8"/>
    <w:rsid w:val="0014654F"/>
    <w:rsid w:val="001479FA"/>
    <w:rsid w:val="00150353"/>
    <w:rsid w:val="00152B3F"/>
    <w:rsid w:val="001559BB"/>
    <w:rsid w:val="00156778"/>
    <w:rsid w:val="00160B04"/>
    <w:rsid w:val="00160EE9"/>
    <w:rsid w:val="00161919"/>
    <w:rsid w:val="0016398E"/>
    <w:rsid w:val="00165950"/>
    <w:rsid w:val="00165F6A"/>
    <w:rsid w:val="001708D5"/>
    <w:rsid w:val="00170901"/>
    <w:rsid w:val="00170D06"/>
    <w:rsid w:val="00171F47"/>
    <w:rsid w:val="001748B5"/>
    <w:rsid w:val="00175A90"/>
    <w:rsid w:val="001773BA"/>
    <w:rsid w:val="00177F67"/>
    <w:rsid w:val="00183CF9"/>
    <w:rsid w:val="001849CC"/>
    <w:rsid w:val="0018643F"/>
    <w:rsid w:val="00186890"/>
    <w:rsid w:val="0018708C"/>
    <w:rsid w:val="00187581"/>
    <w:rsid w:val="00192EB1"/>
    <w:rsid w:val="00194588"/>
    <w:rsid w:val="0019576F"/>
    <w:rsid w:val="00195C81"/>
    <w:rsid w:val="001A16E4"/>
    <w:rsid w:val="001A24D0"/>
    <w:rsid w:val="001A37C8"/>
    <w:rsid w:val="001A5B80"/>
    <w:rsid w:val="001B0326"/>
    <w:rsid w:val="001B04EB"/>
    <w:rsid w:val="001B0A2E"/>
    <w:rsid w:val="001B139A"/>
    <w:rsid w:val="001B2279"/>
    <w:rsid w:val="001B2DC6"/>
    <w:rsid w:val="001B38F6"/>
    <w:rsid w:val="001B3D7F"/>
    <w:rsid w:val="001B43CA"/>
    <w:rsid w:val="001B4644"/>
    <w:rsid w:val="001B58C9"/>
    <w:rsid w:val="001B6193"/>
    <w:rsid w:val="001B6B67"/>
    <w:rsid w:val="001B6C89"/>
    <w:rsid w:val="001C22C5"/>
    <w:rsid w:val="001C3353"/>
    <w:rsid w:val="001C34EA"/>
    <w:rsid w:val="001C45A6"/>
    <w:rsid w:val="001D015F"/>
    <w:rsid w:val="001D0E52"/>
    <w:rsid w:val="001D2E06"/>
    <w:rsid w:val="001D2F2D"/>
    <w:rsid w:val="001D3DFD"/>
    <w:rsid w:val="001D3F32"/>
    <w:rsid w:val="001D4BF9"/>
    <w:rsid w:val="001D567E"/>
    <w:rsid w:val="001D6033"/>
    <w:rsid w:val="001D6E83"/>
    <w:rsid w:val="001E0556"/>
    <w:rsid w:val="001E08E8"/>
    <w:rsid w:val="001E13F9"/>
    <w:rsid w:val="001E281D"/>
    <w:rsid w:val="001E374A"/>
    <w:rsid w:val="001E58E6"/>
    <w:rsid w:val="001E6D4C"/>
    <w:rsid w:val="001F0F32"/>
    <w:rsid w:val="001F2777"/>
    <w:rsid w:val="001F2F65"/>
    <w:rsid w:val="001F43B0"/>
    <w:rsid w:val="001F4C3F"/>
    <w:rsid w:val="001F52F4"/>
    <w:rsid w:val="001F58EC"/>
    <w:rsid w:val="001F5940"/>
    <w:rsid w:val="001F681A"/>
    <w:rsid w:val="001F720D"/>
    <w:rsid w:val="001F7470"/>
    <w:rsid w:val="00201861"/>
    <w:rsid w:val="00204504"/>
    <w:rsid w:val="002058C5"/>
    <w:rsid w:val="00207A23"/>
    <w:rsid w:val="00207FD3"/>
    <w:rsid w:val="00210473"/>
    <w:rsid w:val="00211BD2"/>
    <w:rsid w:val="002143F6"/>
    <w:rsid w:val="00214515"/>
    <w:rsid w:val="002166C8"/>
    <w:rsid w:val="002170DB"/>
    <w:rsid w:val="00217A30"/>
    <w:rsid w:val="00221C64"/>
    <w:rsid w:val="00222274"/>
    <w:rsid w:val="0022319E"/>
    <w:rsid w:val="00223E52"/>
    <w:rsid w:val="002249C7"/>
    <w:rsid w:val="00225A05"/>
    <w:rsid w:val="00227893"/>
    <w:rsid w:val="00232EB3"/>
    <w:rsid w:val="0023415D"/>
    <w:rsid w:val="002342B2"/>
    <w:rsid w:val="00234701"/>
    <w:rsid w:val="002362E3"/>
    <w:rsid w:val="0023698C"/>
    <w:rsid w:val="00237CAA"/>
    <w:rsid w:val="00237DCD"/>
    <w:rsid w:val="0024105F"/>
    <w:rsid w:val="00241B39"/>
    <w:rsid w:val="00242A2E"/>
    <w:rsid w:val="00246E87"/>
    <w:rsid w:val="002501EA"/>
    <w:rsid w:val="00250859"/>
    <w:rsid w:val="002517D5"/>
    <w:rsid w:val="002522EF"/>
    <w:rsid w:val="0025294C"/>
    <w:rsid w:val="00252D2C"/>
    <w:rsid w:val="00253511"/>
    <w:rsid w:val="00253CFE"/>
    <w:rsid w:val="00263DC7"/>
    <w:rsid w:val="00267EA3"/>
    <w:rsid w:val="002702EB"/>
    <w:rsid w:val="00270891"/>
    <w:rsid w:val="002740D0"/>
    <w:rsid w:val="00274BEB"/>
    <w:rsid w:val="002760FF"/>
    <w:rsid w:val="00276457"/>
    <w:rsid w:val="00277DF1"/>
    <w:rsid w:val="00277E79"/>
    <w:rsid w:val="00281174"/>
    <w:rsid w:val="00281AB1"/>
    <w:rsid w:val="002820C0"/>
    <w:rsid w:val="002827D3"/>
    <w:rsid w:val="00282E70"/>
    <w:rsid w:val="002834B7"/>
    <w:rsid w:val="00284675"/>
    <w:rsid w:val="00285E11"/>
    <w:rsid w:val="002923EA"/>
    <w:rsid w:val="002929E9"/>
    <w:rsid w:val="0029449B"/>
    <w:rsid w:val="002948D6"/>
    <w:rsid w:val="0029525A"/>
    <w:rsid w:val="0029566D"/>
    <w:rsid w:val="00295F5D"/>
    <w:rsid w:val="00296468"/>
    <w:rsid w:val="002A30F1"/>
    <w:rsid w:val="002A54DE"/>
    <w:rsid w:val="002A58B0"/>
    <w:rsid w:val="002B212D"/>
    <w:rsid w:val="002B774C"/>
    <w:rsid w:val="002B7E1B"/>
    <w:rsid w:val="002C50EB"/>
    <w:rsid w:val="002C6065"/>
    <w:rsid w:val="002C6091"/>
    <w:rsid w:val="002C72A7"/>
    <w:rsid w:val="002C7C8A"/>
    <w:rsid w:val="002D1D32"/>
    <w:rsid w:val="002D2671"/>
    <w:rsid w:val="002D2740"/>
    <w:rsid w:val="002D2B26"/>
    <w:rsid w:val="002D568D"/>
    <w:rsid w:val="002E0193"/>
    <w:rsid w:val="002E0C79"/>
    <w:rsid w:val="002E0F17"/>
    <w:rsid w:val="002E35EC"/>
    <w:rsid w:val="002E3783"/>
    <w:rsid w:val="002E7B1F"/>
    <w:rsid w:val="002F061F"/>
    <w:rsid w:val="002F0B19"/>
    <w:rsid w:val="002F311C"/>
    <w:rsid w:val="002F3692"/>
    <w:rsid w:val="002F55CF"/>
    <w:rsid w:val="002F666F"/>
    <w:rsid w:val="003002FE"/>
    <w:rsid w:val="00301924"/>
    <w:rsid w:val="0030261D"/>
    <w:rsid w:val="00302ED7"/>
    <w:rsid w:val="00303689"/>
    <w:rsid w:val="00305364"/>
    <w:rsid w:val="00305A2D"/>
    <w:rsid w:val="003106F5"/>
    <w:rsid w:val="00311A90"/>
    <w:rsid w:val="0031205E"/>
    <w:rsid w:val="0031537D"/>
    <w:rsid w:val="00315727"/>
    <w:rsid w:val="00316700"/>
    <w:rsid w:val="00316E0E"/>
    <w:rsid w:val="0032014B"/>
    <w:rsid w:val="0032081D"/>
    <w:rsid w:val="00320C29"/>
    <w:rsid w:val="003214F4"/>
    <w:rsid w:val="00321BFE"/>
    <w:rsid w:val="00321D2E"/>
    <w:rsid w:val="00321F2D"/>
    <w:rsid w:val="00322997"/>
    <w:rsid w:val="00323C50"/>
    <w:rsid w:val="00323F3B"/>
    <w:rsid w:val="003240B5"/>
    <w:rsid w:val="0032660B"/>
    <w:rsid w:val="00330372"/>
    <w:rsid w:val="003357DA"/>
    <w:rsid w:val="00341C8E"/>
    <w:rsid w:val="00341D38"/>
    <w:rsid w:val="00343B0F"/>
    <w:rsid w:val="003440F9"/>
    <w:rsid w:val="00345AF5"/>
    <w:rsid w:val="00346573"/>
    <w:rsid w:val="00346D93"/>
    <w:rsid w:val="00347B1C"/>
    <w:rsid w:val="00360D2C"/>
    <w:rsid w:val="00360E12"/>
    <w:rsid w:val="0036424D"/>
    <w:rsid w:val="003656FA"/>
    <w:rsid w:val="003658D1"/>
    <w:rsid w:val="00365DE8"/>
    <w:rsid w:val="003674DD"/>
    <w:rsid w:val="00367CFA"/>
    <w:rsid w:val="003706B9"/>
    <w:rsid w:val="0037224A"/>
    <w:rsid w:val="00372434"/>
    <w:rsid w:val="00372441"/>
    <w:rsid w:val="003724DD"/>
    <w:rsid w:val="00372644"/>
    <w:rsid w:val="0037568A"/>
    <w:rsid w:val="00376930"/>
    <w:rsid w:val="00376B8B"/>
    <w:rsid w:val="0037714A"/>
    <w:rsid w:val="0037777C"/>
    <w:rsid w:val="00381812"/>
    <w:rsid w:val="00383537"/>
    <w:rsid w:val="003857BA"/>
    <w:rsid w:val="00390543"/>
    <w:rsid w:val="0039060B"/>
    <w:rsid w:val="00391831"/>
    <w:rsid w:val="0039338B"/>
    <w:rsid w:val="00393400"/>
    <w:rsid w:val="00395D67"/>
    <w:rsid w:val="00396F2B"/>
    <w:rsid w:val="003A2183"/>
    <w:rsid w:val="003A7F56"/>
    <w:rsid w:val="003B0C4E"/>
    <w:rsid w:val="003B212D"/>
    <w:rsid w:val="003B30EA"/>
    <w:rsid w:val="003B3B17"/>
    <w:rsid w:val="003B3B44"/>
    <w:rsid w:val="003B44AB"/>
    <w:rsid w:val="003B49D2"/>
    <w:rsid w:val="003B53D7"/>
    <w:rsid w:val="003B57C0"/>
    <w:rsid w:val="003B588E"/>
    <w:rsid w:val="003B797E"/>
    <w:rsid w:val="003C1662"/>
    <w:rsid w:val="003C1D00"/>
    <w:rsid w:val="003C511F"/>
    <w:rsid w:val="003C7621"/>
    <w:rsid w:val="003D1A4D"/>
    <w:rsid w:val="003D5004"/>
    <w:rsid w:val="003E0A05"/>
    <w:rsid w:val="003E1958"/>
    <w:rsid w:val="003E4F3D"/>
    <w:rsid w:val="003F29D2"/>
    <w:rsid w:val="003F2B41"/>
    <w:rsid w:val="003F3BE9"/>
    <w:rsid w:val="003F3CE8"/>
    <w:rsid w:val="003F4634"/>
    <w:rsid w:val="003F4E23"/>
    <w:rsid w:val="003F6FDB"/>
    <w:rsid w:val="003F771C"/>
    <w:rsid w:val="003F7B68"/>
    <w:rsid w:val="00401948"/>
    <w:rsid w:val="00402A16"/>
    <w:rsid w:val="00403491"/>
    <w:rsid w:val="0040655D"/>
    <w:rsid w:val="0040717A"/>
    <w:rsid w:val="00410A6B"/>
    <w:rsid w:val="0041321C"/>
    <w:rsid w:val="00414244"/>
    <w:rsid w:val="004158FC"/>
    <w:rsid w:val="00420C59"/>
    <w:rsid w:val="00424C81"/>
    <w:rsid w:val="00427539"/>
    <w:rsid w:val="00434136"/>
    <w:rsid w:val="00435093"/>
    <w:rsid w:val="004350FE"/>
    <w:rsid w:val="0043579F"/>
    <w:rsid w:val="00436475"/>
    <w:rsid w:val="0044066F"/>
    <w:rsid w:val="00441582"/>
    <w:rsid w:val="00441B0E"/>
    <w:rsid w:val="00442CE4"/>
    <w:rsid w:val="00443067"/>
    <w:rsid w:val="004468BD"/>
    <w:rsid w:val="0045038E"/>
    <w:rsid w:val="004526B0"/>
    <w:rsid w:val="00453A52"/>
    <w:rsid w:val="00454A3D"/>
    <w:rsid w:val="004550BB"/>
    <w:rsid w:val="0045524A"/>
    <w:rsid w:val="004562EF"/>
    <w:rsid w:val="00457D3B"/>
    <w:rsid w:val="004614CF"/>
    <w:rsid w:val="00461B1D"/>
    <w:rsid w:val="004624D8"/>
    <w:rsid w:val="004636CC"/>
    <w:rsid w:val="00463DA6"/>
    <w:rsid w:val="0046405D"/>
    <w:rsid w:val="00464BFC"/>
    <w:rsid w:val="00465CAA"/>
    <w:rsid w:val="00466187"/>
    <w:rsid w:val="004666BA"/>
    <w:rsid w:val="00467FB4"/>
    <w:rsid w:val="00470E87"/>
    <w:rsid w:val="00473705"/>
    <w:rsid w:val="00473B8B"/>
    <w:rsid w:val="00473EFE"/>
    <w:rsid w:val="0047450F"/>
    <w:rsid w:val="00474823"/>
    <w:rsid w:val="00476632"/>
    <w:rsid w:val="00477BCC"/>
    <w:rsid w:val="00484D35"/>
    <w:rsid w:val="00487DEA"/>
    <w:rsid w:val="00487FC4"/>
    <w:rsid w:val="004901B2"/>
    <w:rsid w:val="00490857"/>
    <w:rsid w:val="004908D1"/>
    <w:rsid w:val="0049453E"/>
    <w:rsid w:val="00496375"/>
    <w:rsid w:val="00497092"/>
    <w:rsid w:val="004976DE"/>
    <w:rsid w:val="004978E8"/>
    <w:rsid w:val="004A0903"/>
    <w:rsid w:val="004A1D10"/>
    <w:rsid w:val="004A29A9"/>
    <w:rsid w:val="004A5719"/>
    <w:rsid w:val="004A5BCC"/>
    <w:rsid w:val="004A7192"/>
    <w:rsid w:val="004A7D89"/>
    <w:rsid w:val="004B3317"/>
    <w:rsid w:val="004B415B"/>
    <w:rsid w:val="004B41AB"/>
    <w:rsid w:val="004B4D52"/>
    <w:rsid w:val="004B5C7E"/>
    <w:rsid w:val="004C033C"/>
    <w:rsid w:val="004C1301"/>
    <w:rsid w:val="004C177A"/>
    <w:rsid w:val="004C19D6"/>
    <w:rsid w:val="004C270B"/>
    <w:rsid w:val="004C4EA9"/>
    <w:rsid w:val="004C53F6"/>
    <w:rsid w:val="004C616C"/>
    <w:rsid w:val="004C687D"/>
    <w:rsid w:val="004D0CAB"/>
    <w:rsid w:val="004D3E73"/>
    <w:rsid w:val="004D440B"/>
    <w:rsid w:val="004D4699"/>
    <w:rsid w:val="004D4D87"/>
    <w:rsid w:val="004D5274"/>
    <w:rsid w:val="004E1B02"/>
    <w:rsid w:val="004E31EB"/>
    <w:rsid w:val="004E3B01"/>
    <w:rsid w:val="004E4BFD"/>
    <w:rsid w:val="004E59AA"/>
    <w:rsid w:val="004E5B6A"/>
    <w:rsid w:val="004E73B6"/>
    <w:rsid w:val="004F13B6"/>
    <w:rsid w:val="004F2250"/>
    <w:rsid w:val="004F2ED1"/>
    <w:rsid w:val="004F307D"/>
    <w:rsid w:val="004F323B"/>
    <w:rsid w:val="004F41F7"/>
    <w:rsid w:val="004F4735"/>
    <w:rsid w:val="004F5233"/>
    <w:rsid w:val="004F5858"/>
    <w:rsid w:val="004F5AE1"/>
    <w:rsid w:val="004F63BC"/>
    <w:rsid w:val="004F68AE"/>
    <w:rsid w:val="004F6AB6"/>
    <w:rsid w:val="005013F4"/>
    <w:rsid w:val="00501ADE"/>
    <w:rsid w:val="005023A9"/>
    <w:rsid w:val="00503074"/>
    <w:rsid w:val="005051C2"/>
    <w:rsid w:val="005055D0"/>
    <w:rsid w:val="00506296"/>
    <w:rsid w:val="00511BDF"/>
    <w:rsid w:val="00513091"/>
    <w:rsid w:val="0051317F"/>
    <w:rsid w:val="00513C64"/>
    <w:rsid w:val="0051400E"/>
    <w:rsid w:val="005142CE"/>
    <w:rsid w:val="00516603"/>
    <w:rsid w:val="00521867"/>
    <w:rsid w:val="00521FEC"/>
    <w:rsid w:val="00523D67"/>
    <w:rsid w:val="00526D64"/>
    <w:rsid w:val="00527063"/>
    <w:rsid w:val="005272F1"/>
    <w:rsid w:val="00531922"/>
    <w:rsid w:val="0053264F"/>
    <w:rsid w:val="00532E35"/>
    <w:rsid w:val="00532F01"/>
    <w:rsid w:val="005345EC"/>
    <w:rsid w:val="00536AB7"/>
    <w:rsid w:val="00537676"/>
    <w:rsid w:val="00537E82"/>
    <w:rsid w:val="0054082C"/>
    <w:rsid w:val="00541966"/>
    <w:rsid w:val="0054249B"/>
    <w:rsid w:val="005431E9"/>
    <w:rsid w:val="00544196"/>
    <w:rsid w:val="00544FCA"/>
    <w:rsid w:val="00545CBA"/>
    <w:rsid w:val="005461D8"/>
    <w:rsid w:val="0054704E"/>
    <w:rsid w:val="0054761B"/>
    <w:rsid w:val="00553E73"/>
    <w:rsid w:val="005542A0"/>
    <w:rsid w:val="00554F9B"/>
    <w:rsid w:val="00556039"/>
    <w:rsid w:val="00560513"/>
    <w:rsid w:val="00562097"/>
    <w:rsid w:val="00562EE2"/>
    <w:rsid w:val="00563778"/>
    <w:rsid w:val="0056565A"/>
    <w:rsid w:val="00566CCF"/>
    <w:rsid w:val="005718D7"/>
    <w:rsid w:val="00573A7E"/>
    <w:rsid w:val="00574235"/>
    <w:rsid w:val="005766A5"/>
    <w:rsid w:val="00581E1C"/>
    <w:rsid w:val="0058245B"/>
    <w:rsid w:val="00586A7C"/>
    <w:rsid w:val="00586D7D"/>
    <w:rsid w:val="005874D3"/>
    <w:rsid w:val="005902CB"/>
    <w:rsid w:val="00590A52"/>
    <w:rsid w:val="00595BD7"/>
    <w:rsid w:val="005A297B"/>
    <w:rsid w:val="005A3082"/>
    <w:rsid w:val="005A59B2"/>
    <w:rsid w:val="005A642C"/>
    <w:rsid w:val="005A66E3"/>
    <w:rsid w:val="005A7261"/>
    <w:rsid w:val="005B0076"/>
    <w:rsid w:val="005B26F2"/>
    <w:rsid w:val="005B2773"/>
    <w:rsid w:val="005B2826"/>
    <w:rsid w:val="005B44D7"/>
    <w:rsid w:val="005B45CC"/>
    <w:rsid w:val="005B6AEF"/>
    <w:rsid w:val="005B7B7D"/>
    <w:rsid w:val="005C2723"/>
    <w:rsid w:val="005C4720"/>
    <w:rsid w:val="005C50FC"/>
    <w:rsid w:val="005C52EC"/>
    <w:rsid w:val="005C59C9"/>
    <w:rsid w:val="005D0C02"/>
    <w:rsid w:val="005D19AC"/>
    <w:rsid w:val="005D416B"/>
    <w:rsid w:val="005D59F6"/>
    <w:rsid w:val="005E25E9"/>
    <w:rsid w:val="005E34D4"/>
    <w:rsid w:val="005E617F"/>
    <w:rsid w:val="005E68BB"/>
    <w:rsid w:val="005F068D"/>
    <w:rsid w:val="005F1438"/>
    <w:rsid w:val="005F2E7D"/>
    <w:rsid w:val="006004B3"/>
    <w:rsid w:val="00600C84"/>
    <w:rsid w:val="006014CD"/>
    <w:rsid w:val="00603627"/>
    <w:rsid w:val="00610C8C"/>
    <w:rsid w:val="00613EF8"/>
    <w:rsid w:val="00614030"/>
    <w:rsid w:val="0061753D"/>
    <w:rsid w:val="00620646"/>
    <w:rsid w:val="00622081"/>
    <w:rsid w:val="00622BCA"/>
    <w:rsid w:val="006231AB"/>
    <w:rsid w:val="00623228"/>
    <w:rsid w:val="0062325C"/>
    <w:rsid w:val="00625001"/>
    <w:rsid w:val="00625A1B"/>
    <w:rsid w:val="00625A83"/>
    <w:rsid w:val="00626C5E"/>
    <w:rsid w:val="00630935"/>
    <w:rsid w:val="006313F2"/>
    <w:rsid w:val="006316FB"/>
    <w:rsid w:val="006322FF"/>
    <w:rsid w:val="006323F7"/>
    <w:rsid w:val="00634978"/>
    <w:rsid w:val="0063793D"/>
    <w:rsid w:val="00650088"/>
    <w:rsid w:val="00650A7B"/>
    <w:rsid w:val="00652CAD"/>
    <w:rsid w:val="00655D1D"/>
    <w:rsid w:val="006564BB"/>
    <w:rsid w:val="006568D6"/>
    <w:rsid w:val="00656DDE"/>
    <w:rsid w:val="0065713E"/>
    <w:rsid w:val="00657A35"/>
    <w:rsid w:val="006602B7"/>
    <w:rsid w:val="0066152A"/>
    <w:rsid w:val="00664918"/>
    <w:rsid w:val="0066594D"/>
    <w:rsid w:val="00665BB0"/>
    <w:rsid w:val="00666215"/>
    <w:rsid w:val="006676C9"/>
    <w:rsid w:val="00667C73"/>
    <w:rsid w:val="00672B88"/>
    <w:rsid w:val="0067324E"/>
    <w:rsid w:val="0067341D"/>
    <w:rsid w:val="006752FC"/>
    <w:rsid w:val="00675325"/>
    <w:rsid w:val="00676794"/>
    <w:rsid w:val="00676B49"/>
    <w:rsid w:val="00677515"/>
    <w:rsid w:val="00680775"/>
    <w:rsid w:val="006811B5"/>
    <w:rsid w:val="0068125F"/>
    <w:rsid w:val="00681924"/>
    <w:rsid w:val="00681FF1"/>
    <w:rsid w:val="00683F3E"/>
    <w:rsid w:val="00685EE4"/>
    <w:rsid w:val="00686BA9"/>
    <w:rsid w:val="006901FD"/>
    <w:rsid w:val="0069166F"/>
    <w:rsid w:val="0069316D"/>
    <w:rsid w:val="00693D4F"/>
    <w:rsid w:val="00694C4C"/>
    <w:rsid w:val="00694D7A"/>
    <w:rsid w:val="00695835"/>
    <w:rsid w:val="00696147"/>
    <w:rsid w:val="006A019D"/>
    <w:rsid w:val="006A04E1"/>
    <w:rsid w:val="006A0B65"/>
    <w:rsid w:val="006A11B3"/>
    <w:rsid w:val="006A11F0"/>
    <w:rsid w:val="006A1FDA"/>
    <w:rsid w:val="006A45A1"/>
    <w:rsid w:val="006A4B4B"/>
    <w:rsid w:val="006A5889"/>
    <w:rsid w:val="006B12E5"/>
    <w:rsid w:val="006B53AC"/>
    <w:rsid w:val="006B6781"/>
    <w:rsid w:val="006B71F7"/>
    <w:rsid w:val="006C0042"/>
    <w:rsid w:val="006C20D4"/>
    <w:rsid w:val="006C2E83"/>
    <w:rsid w:val="006C3DBE"/>
    <w:rsid w:val="006C4856"/>
    <w:rsid w:val="006D033B"/>
    <w:rsid w:val="006D06A3"/>
    <w:rsid w:val="006D4DA5"/>
    <w:rsid w:val="006D693D"/>
    <w:rsid w:val="006E13FA"/>
    <w:rsid w:val="006E1506"/>
    <w:rsid w:val="006E3A03"/>
    <w:rsid w:val="006E42CF"/>
    <w:rsid w:val="006E4A24"/>
    <w:rsid w:val="006E640E"/>
    <w:rsid w:val="006E682B"/>
    <w:rsid w:val="006E7560"/>
    <w:rsid w:val="006F0241"/>
    <w:rsid w:val="006F1748"/>
    <w:rsid w:val="006F1F4D"/>
    <w:rsid w:val="006F4008"/>
    <w:rsid w:val="006F4F81"/>
    <w:rsid w:val="006F6AD5"/>
    <w:rsid w:val="007004EE"/>
    <w:rsid w:val="0070059E"/>
    <w:rsid w:val="007015C8"/>
    <w:rsid w:val="00702918"/>
    <w:rsid w:val="007030D9"/>
    <w:rsid w:val="007047CF"/>
    <w:rsid w:val="00705FF2"/>
    <w:rsid w:val="00716A60"/>
    <w:rsid w:val="007176D0"/>
    <w:rsid w:val="00717A63"/>
    <w:rsid w:val="00717D35"/>
    <w:rsid w:val="00720F4B"/>
    <w:rsid w:val="007243DF"/>
    <w:rsid w:val="00726141"/>
    <w:rsid w:val="00730803"/>
    <w:rsid w:val="007309AA"/>
    <w:rsid w:val="007320E9"/>
    <w:rsid w:val="00733AD0"/>
    <w:rsid w:val="00733EF0"/>
    <w:rsid w:val="00736492"/>
    <w:rsid w:val="007372F7"/>
    <w:rsid w:val="00740622"/>
    <w:rsid w:val="007407AF"/>
    <w:rsid w:val="007412D1"/>
    <w:rsid w:val="00741570"/>
    <w:rsid w:val="007419A2"/>
    <w:rsid w:val="00742420"/>
    <w:rsid w:val="00742F0B"/>
    <w:rsid w:val="00742F8F"/>
    <w:rsid w:val="00743B20"/>
    <w:rsid w:val="00747AC7"/>
    <w:rsid w:val="00750354"/>
    <w:rsid w:val="007512B2"/>
    <w:rsid w:val="007520D5"/>
    <w:rsid w:val="007539B0"/>
    <w:rsid w:val="00754821"/>
    <w:rsid w:val="00754BC1"/>
    <w:rsid w:val="0075631C"/>
    <w:rsid w:val="00760476"/>
    <w:rsid w:val="00760E19"/>
    <w:rsid w:val="00762831"/>
    <w:rsid w:val="00764368"/>
    <w:rsid w:val="007647CC"/>
    <w:rsid w:val="00764EC3"/>
    <w:rsid w:val="007650FE"/>
    <w:rsid w:val="00767125"/>
    <w:rsid w:val="007717F4"/>
    <w:rsid w:val="00774382"/>
    <w:rsid w:val="007827FB"/>
    <w:rsid w:val="007841E2"/>
    <w:rsid w:val="00784772"/>
    <w:rsid w:val="00785524"/>
    <w:rsid w:val="00787DD8"/>
    <w:rsid w:val="00792368"/>
    <w:rsid w:val="00792625"/>
    <w:rsid w:val="0079372A"/>
    <w:rsid w:val="007959A1"/>
    <w:rsid w:val="00795B2D"/>
    <w:rsid w:val="007A03D8"/>
    <w:rsid w:val="007A0B35"/>
    <w:rsid w:val="007A0F30"/>
    <w:rsid w:val="007A275F"/>
    <w:rsid w:val="007A3D50"/>
    <w:rsid w:val="007A652F"/>
    <w:rsid w:val="007B03B5"/>
    <w:rsid w:val="007B0585"/>
    <w:rsid w:val="007B05CA"/>
    <w:rsid w:val="007B06B0"/>
    <w:rsid w:val="007B1F9F"/>
    <w:rsid w:val="007B24E8"/>
    <w:rsid w:val="007B2771"/>
    <w:rsid w:val="007B2E66"/>
    <w:rsid w:val="007C048C"/>
    <w:rsid w:val="007C19DF"/>
    <w:rsid w:val="007C2447"/>
    <w:rsid w:val="007C3C1A"/>
    <w:rsid w:val="007C3C3F"/>
    <w:rsid w:val="007C51D9"/>
    <w:rsid w:val="007C525E"/>
    <w:rsid w:val="007C5298"/>
    <w:rsid w:val="007C6681"/>
    <w:rsid w:val="007D0596"/>
    <w:rsid w:val="007D16DC"/>
    <w:rsid w:val="007D1762"/>
    <w:rsid w:val="007D29B6"/>
    <w:rsid w:val="007D535F"/>
    <w:rsid w:val="007D612C"/>
    <w:rsid w:val="007D6F9F"/>
    <w:rsid w:val="007E0212"/>
    <w:rsid w:val="007E3DAF"/>
    <w:rsid w:val="007E489B"/>
    <w:rsid w:val="007E5030"/>
    <w:rsid w:val="007E6B34"/>
    <w:rsid w:val="007E7362"/>
    <w:rsid w:val="007E7416"/>
    <w:rsid w:val="007E7429"/>
    <w:rsid w:val="007E7E1C"/>
    <w:rsid w:val="007F0A45"/>
    <w:rsid w:val="007F19E2"/>
    <w:rsid w:val="007F3154"/>
    <w:rsid w:val="007F36EB"/>
    <w:rsid w:val="007F4ACC"/>
    <w:rsid w:val="007F676D"/>
    <w:rsid w:val="007F733A"/>
    <w:rsid w:val="00800007"/>
    <w:rsid w:val="008010E7"/>
    <w:rsid w:val="00803BB8"/>
    <w:rsid w:val="00805281"/>
    <w:rsid w:val="008060C3"/>
    <w:rsid w:val="008069EC"/>
    <w:rsid w:val="00810FCD"/>
    <w:rsid w:val="0081140E"/>
    <w:rsid w:val="00813294"/>
    <w:rsid w:val="00814C51"/>
    <w:rsid w:val="00814CDD"/>
    <w:rsid w:val="00817182"/>
    <w:rsid w:val="00820C93"/>
    <w:rsid w:val="008227CA"/>
    <w:rsid w:val="00823CE8"/>
    <w:rsid w:val="0082442D"/>
    <w:rsid w:val="00825937"/>
    <w:rsid w:val="00826339"/>
    <w:rsid w:val="008268FD"/>
    <w:rsid w:val="00834300"/>
    <w:rsid w:val="008364AE"/>
    <w:rsid w:val="00840319"/>
    <w:rsid w:val="00840574"/>
    <w:rsid w:val="00840BFD"/>
    <w:rsid w:val="00841638"/>
    <w:rsid w:val="008435A5"/>
    <w:rsid w:val="008449EE"/>
    <w:rsid w:val="008501CB"/>
    <w:rsid w:val="0085021B"/>
    <w:rsid w:val="00850AA4"/>
    <w:rsid w:val="0085168A"/>
    <w:rsid w:val="00851CAF"/>
    <w:rsid w:val="008521B6"/>
    <w:rsid w:val="00852D7C"/>
    <w:rsid w:val="008553C7"/>
    <w:rsid w:val="00855587"/>
    <w:rsid w:val="00856E90"/>
    <w:rsid w:val="00860093"/>
    <w:rsid w:val="008614BA"/>
    <w:rsid w:val="0086182F"/>
    <w:rsid w:val="0086315D"/>
    <w:rsid w:val="00864A0F"/>
    <w:rsid w:val="008708EE"/>
    <w:rsid w:val="008731DE"/>
    <w:rsid w:val="00875E51"/>
    <w:rsid w:val="00875FAD"/>
    <w:rsid w:val="00877D40"/>
    <w:rsid w:val="00880B44"/>
    <w:rsid w:val="00881449"/>
    <w:rsid w:val="008828AF"/>
    <w:rsid w:val="00884E6F"/>
    <w:rsid w:val="00885021"/>
    <w:rsid w:val="00885462"/>
    <w:rsid w:val="00886D26"/>
    <w:rsid w:val="00890C00"/>
    <w:rsid w:val="00891A4C"/>
    <w:rsid w:val="00892813"/>
    <w:rsid w:val="008941E3"/>
    <w:rsid w:val="008943DB"/>
    <w:rsid w:val="0089492D"/>
    <w:rsid w:val="00895006"/>
    <w:rsid w:val="00896A4D"/>
    <w:rsid w:val="008A0BB9"/>
    <w:rsid w:val="008A0F63"/>
    <w:rsid w:val="008A2D7F"/>
    <w:rsid w:val="008A60DE"/>
    <w:rsid w:val="008A7A31"/>
    <w:rsid w:val="008B2D73"/>
    <w:rsid w:val="008B37F8"/>
    <w:rsid w:val="008C1B50"/>
    <w:rsid w:val="008C2B73"/>
    <w:rsid w:val="008C4A0D"/>
    <w:rsid w:val="008C64C8"/>
    <w:rsid w:val="008C68F7"/>
    <w:rsid w:val="008C7170"/>
    <w:rsid w:val="008C756A"/>
    <w:rsid w:val="008D16BD"/>
    <w:rsid w:val="008D1A41"/>
    <w:rsid w:val="008D21BB"/>
    <w:rsid w:val="008D29E5"/>
    <w:rsid w:val="008D50E3"/>
    <w:rsid w:val="008D5AB3"/>
    <w:rsid w:val="008D6141"/>
    <w:rsid w:val="008D651F"/>
    <w:rsid w:val="008E0FE8"/>
    <w:rsid w:val="008E2D90"/>
    <w:rsid w:val="008E371D"/>
    <w:rsid w:val="008E45BB"/>
    <w:rsid w:val="008E468C"/>
    <w:rsid w:val="008E4761"/>
    <w:rsid w:val="008E613E"/>
    <w:rsid w:val="008F028D"/>
    <w:rsid w:val="008F050B"/>
    <w:rsid w:val="008F2EE8"/>
    <w:rsid w:val="008F3613"/>
    <w:rsid w:val="008F47D4"/>
    <w:rsid w:val="008F500C"/>
    <w:rsid w:val="008F5A99"/>
    <w:rsid w:val="008F6223"/>
    <w:rsid w:val="00901355"/>
    <w:rsid w:val="009030E0"/>
    <w:rsid w:val="009037C1"/>
    <w:rsid w:val="009038ED"/>
    <w:rsid w:val="00903F73"/>
    <w:rsid w:val="009048A3"/>
    <w:rsid w:val="009054CF"/>
    <w:rsid w:val="0090714B"/>
    <w:rsid w:val="0090776E"/>
    <w:rsid w:val="00907987"/>
    <w:rsid w:val="00910617"/>
    <w:rsid w:val="00910E80"/>
    <w:rsid w:val="0091279B"/>
    <w:rsid w:val="009128EA"/>
    <w:rsid w:val="00912B59"/>
    <w:rsid w:val="009133DA"/>
    <w:rsid w:val="009136EF"/>
    <w:rsid w:val="00914144"/>
    <w:rsid w:val="0091734A"/>
    <w:rsid w:val="009173BE"/>
    <w:rsid w:val="009174BC"/>
    <w:rsid w:val="00917A43"/>
    <w:rsid w:val="00920DA0"/>
    <w:rsid w:val="0092152A"/>
    <w:rsid w:val="009245CE"/>
    <w:rsid w:val="0092497F"/>
    <w:rsid w:val="00924989"/>
    <w:rsid w:val="0092528E"/>
    <w:rsid w:val="00925418"/>
    <w:rsid w:val="0092615F"/>
    <w:rsid w:val="0092652B"/>
    <w:rsid w:val="00926885"/>
    <w:rsid w:val="00930ADA"/>
    <w:rsid w:val="009311E5"/>
    <w:rsid w:val="00932AC8"/>
    <w:rsid w:val="00935354"/>
    <w:rsid w:val="00935A6E"/>
    <w:rsid w:val="00937B94"/>
    <w:rsid w:val="0094069A"/>
    <w:rsid w:val="00940B1F"/>
    <w:rsid w:val="00940BB9"/>
    <w:rsid w:val="00944399"/>
    <w:rsid w:val="00944641"/>
    <w:rsid w:val="00946ED3"/>
    <w:rsid w:val="009477FD"/>
    <w:rsid w:val="009521CD"/>
    <w:rsid w:val="00952909"/>
    <w:rsid w:val="00956490"/>
    <w:rsid w:val="009576CD"/>
    <w:rsid w:val="00960689"/>
    <w:rsid w:val="00961DCE"/>
    <w:rsid w:val="009623BD"/>
    <w:rsid w:val="00963228"/>
    <w:rsid w:val="00966650"/>
    <w:rsid w:val="00966F4F"/>
    <w:rsid w:val="009728B4"/>
    <w:rsid w:val="00975B8D"/>
    <w:rsid w:val="00975D03"/>
    <w:rsid w:val="00975D3C"/>
    <w:rsid w:val="009765F7"/>
    <w:rsid w:val="00976BAD"/>
    <w:rsid w:val="00976FB4"/>
    <w:rsid w:val="00977942"/>
    <w:rsid w:val="00977FDD"/>
    <w:rsid w:val="00981D69"/>
    <w:rsid w:val="009836D9"/>
    <w:rsid w:val="00983720"/>
    <w:rsid w:val="00984D68"/>
    <w:rsid w:val="00985272"/>
    <w:rsid w:val="00985863"/>
    <w:rsid w:val="00987FCE"/>
    <w:rsid w:val="00990E71"/>
    <w:rsid w:val="00991A2F"/>
    <w:rsid w:val="0099220A"/>
    <w:rsid w:val="00993E39"/>
    <w:rsid w:val="00994BE9"/>
    <w:rsid w:val="0099537D"/>
    <w:rsid w:val="00995CDE"/>
    <w:rsid w:val="0099655D"/>
    <w:rsid w:val="009978B7"/>
    <w:rsid w:val="00997FC5"/>
    <w:rsid w:val="009A1389"/>
    <w:rsid w:val="009A4671"/>
    <w:rsid w:val="009A5790"/>
    <w:rsid w:val="009A74AB"/>
    <w:rsid w:val="009B319F"/>
    <w:rsid w:val="009B4F18"/>
    <w:rsid w:val="009B55FB"/>
    <w:rsid w:val="009B5C17"/>
    <w:rsid w:val="009C2BDE"/>
    <w:rsid w:val="009C4B75"/>
    <w:rsid w:val="009C51F6"/>
    <w:rsid w:val="009C6292"/>
    <w:rsid w:val="009C6D69"/>
    <w:rsid w:val="009D110F"/>
    <w:rsid w:val="009D1E4F"/>
    <w:rsid w:val="009D3BF9"/>
    <w:rsid w:val="009D4203"/>
    <w:rsid w:val="009D461C"/>
    <w:rsid w:val="009D6E15"/>
    <w:rsid w:val="009E0497"/>
    <w:rsid w:val="009E23D1"/>
    <w:rsid w:val="009E2504"/>
    <w:rsid w:val="009E26FD"/>
    <w:rsid w:val="009E29BD"/>
    <w:rsid w:val="009E4342"/>
    <w:rsid w:val="009E70FC"/>
    <w:rsid w:val="009F0158"/>
    <w:rsid w:val="009F19E8"/>
    <w:rsid w:val="009F1E95"/>
    <w:rsid w:val="009F2FB0"/>
    <w:rsid w:val="009F5D9E"/>
    <w:rsid w:val="009F705B"/>
    <w:rsid w:val="009F7298"/>
    <w:rsid w:val="009F7B96"/>
    <w:rsid w:val="00A02ADA"/>
    <w:rsid w:val="00A03CF9"/>
    <w:rsid w:val="00A04E56"/>
    <w:rsid w:val="00A04F97"/>
    <w:rsid w:val="00A05B9C"/>
    <w:rsid w:val="00A07C01"/>
    <w:rsid w:val="00A11EE1"/>
    <w:rsid w:val="00A12006"/>
    <w:rsid w:val="00A129B8"/>
    <w:rsid w:val="00A12B82"/>
    <w:rsid w:val="00A13350"/>
    <w:rsid w:val="00A145AE"/>
    <w:rsid w:val="00A14F22"/>
    <w:rsid w:val="00A15F1B"/>
    <w:rsid w:val="00A17137"/>
    <w:rsid w:val="00A20A0D"/>
    <w:rsid w:val="00A210FE"/>
    <w:rsid w:val="00A21FDF"/>
    <w:rsid w:val="00A22A8D"/>
    <w:rsid w:val="00A238CF"/>
    <w:rsid w:val="00A23C68"/>
    <w:rsid w:val="00A23D1C"/>
    <w:rsid w:val="00A308A3"/>
    <w:rsid w:val="00A327C8"/>
    <w:rsid w:val="00A330E0"/>
    <w:rsid w:val="00A33EBA"/>
    <w:rsid w:val="00A4136A"/>
    <w:rsid w:val="00A41880"/>
    <w:rsid w:val="00A41C67"/>
    <w:rsid w:val="00A41D71"/>
    <w:rsid w:val="00A428A5"/>
    <w:rsid w:val="00A434ED"/>
    <w:rsid w:val="00A43DB7"/>
    <w:rsid w:val="00A54133"/>
    <w:rsid w:val="00A6168E"/>
    <w:rsid w:val="00A62D1C"/>
    <w:rsid w:val="00A638DD"/>
    <w:rsid w:val="00A64FB1"/>
    <w:rsid w:val="00A6620F"/>
    <w:rsid w:val="00A67377"/>
    <w:rsid w:val="00A70007"/>
    <w:rsid w:val="00A715D9"/>
    <w:rsid w:val="00A71E80"/>
    <w:rsid w:val="00A71EF7"/>
    <w:rsid w:val="00A73BF6"/>
    <w:rsid w:val="00A758E3"/>
    <w:rsid w:val="00A77711"/>
    <w:rsid w:val="00A80AE9"/>
    <w:rsid w:val="00A82734"/>
    <w:rsid w:val="00A82F9C"/>
    <w:rsid w:val="00A8301B"/>
    <w:rsid w:val="00A855FE"/>
    <w:rsid w:val="00A85A51"/>
    <w:rsid w:val="00A87A25"/>
    <w:rsid w:val="00A87FAB"/>
    <w:rsid w:val="00A92ECA"/>
    <w:rsid w:val="00A930C6"/>
    <w:rsid w:val="00A93787"/>
    <w:rsid w:val="00A94C50"/>
    <w:rsid w:val="00A97246"/>
    <w:rsid w:val="00A973D4"/>
    <w:rsid w:val="00AA0157"/>
    <w:rsid w:val="00AA2B6B"/>
    <w:rsid w:val="00AA3A90"/>
    <w:rsid w:val="00AA551C"/>
    <w:rsid w:val="00AA5D4F"/>
    <w:rsid w:val="00AB0544"/>
    <w:rsid w:val="00AB0B21"/>
    <w:rsid w:val="00AB1661"/>
    <w:rsid w:val="00AB2962"/>
    <w:rsid w:val="00AB387B"/>
    <w:rsid w:val="00AB3CE9"/>
    <w:rsid w:val="00AB5144"/>
    <w:rsid w:val="00AB67FD"/>
    <w:rsid w:val="00AB6B32"/>
    <w:rsid w:val="00AB7783"/>
    <w:rsid w:val="00AC0E8A"/>
    <w:rsid w:val="00AC106E"/>
    <w:rsid w:val="00AC185E"/>
    <w:rsid w:val="00AC29FB"/>
    <w:rsid w:val="00AC34FC"/>
    <w:rsid w:val="00AC51B6"/>
    <w:rsid w:val="00AC67D7"/>
    <w:rsid w:val="00AC76D1"/>
    <w:rsid w:val="00AD3239"/>
    <w:rsid w:val="00AD4B9B"/>
    <w:rsid w:val="00AD6070"/>
    <w:rsid w:val="00AD6AD1"/>
    <w:rsid w:val="00AE0705"/>
    <w:rsid w:val="00AE0DF5"/>
    <w:rsid w:val="00AE1085"/>
    <w:rsid w:val="00AE1400"/>
    <w:rsid w:val="00AE1D81"/>
    <w:rsid w:val="00AE3CF4"/>
    <w:rsid w:val="00AE3D68"/>
    <w:rsid w:val="00AE4A00"/>
    <w:rsid w:val="00AE5426"/>
    <w:rsid w:val="00AE5A16"/>
    <w:rsid w:val="00AE6848"/>
    <w:rsid w:val="00AE7762"/>
    <w:rsid w:val="00AE7C4A"/>
    <w:rsid w:val="00AF04CE"/>
    <w:rsid w:val="00AF088A"/>
    <w:rsid w:val="00AF1FDB"/>
    <w:rsid w:val="00AF4B67"/>
    <w:rsid w:val="00AF5BB7"/>
    <w:rsid w:val="00AF67EC"/>
    <w:rsid w:val="00B00373"/>
    <w:rsid w:val="00B00B4A"/>
    <w:rsid w:val="00B01275"/>
    <w:rsid w:val="00B0192D"/>
    <w:rsid w:val="00B02548"/>
    <w:rsid w:val="00B03405"/>
    <w:rsid w:val="00B039BD"/>
    <w:rsid w:val="00B03E3F"/>
    <w:rsid w:val="00B04C39"/>
    <w:rsid w:val="00B066FF"/>
    <w:rsid w:val="00B06C1A"/>
    <w:rsid w:val="00B06CC2"/>
    <w:rsid w:val="00B11465"/>
    <w:rsid w:val="00B1351A"/>
    <w:rsid w:val="00B13714"/>
    <w:rsid w:val="00B141EE"/>
    <w:rsid w:val="00B163A1"/>
    <w:rsid w:val="00B21974"/>
    <w:rsid w:val="00B223B3"/>
    <w:rsid w:val="00B24D1C"/>
    <w:rsid w:val="00B24FC7"/>
    <w:rsid w:val="00B25687"/>
    <w:rsid w:val="00B30116"/>
    <w:rsid w:val="00B30EB4"/>
    <w:rsid w:val="00B346F4"/>
    <w:rsid w:val="00B36006"/>
    <w:rsid w:val="00B368AB"/>
    <w:rsid w:val="00B406D5"/>
    <w:rsid w:val="00B40C54"/>
    <w:rsid w:val="00B415C5"/>
    <w:rsid w:val="00B41914"/>
    <w:rsid w:val="00B44538"/>
    <w:rsid w:val="00B45039"/>
    <w:rsid w:val="00B4616E"/>
    <w:rsid w:val="00B47010"/>
    <w:rsid w:val="00B50DAE"/>
    <w:rsid w:val="00B5334D"/>
    <w:rsid w:val="00B53716"/>
    <w:rsid w:val="00B55D32"/>
    <w:rsid w:val="00B579CB"/>
    <w:rsid w:val="00B57F5E"/>
    <w:rsid w:val="00B60D7B"/>
    <w:rsid w:val="00B62D2A"/>
    <w:rsid w:val="00B635CE"/>
    <w:rsid w:val="00B64755"/>
    <w:rsid w:val="00B64C24"/>
    <w:rsid w:val="00B66C6F"/>
    <w:rsid w:val="00B66FF0"/>
    <w:rsid w:val="00B672AB"/>
    <w:rsid w:val="00B70499"/>
    <w:rsid w:val="00B70909"/>
    <w:rsid w:val="00B71C0B"/>
    <w:rsid w:val="00B7266E"/>
    <w:rsid w:val="00B7498C"/>
    <w:rsid w:val="00B7674D"/>
    <w:rsid w:val="00B77A7B"/>
    <w:rsid w:val="00B805D1"/>
    <w:rsid w:val="00B80BEA"/>
    <w:rsid w:val="00B80E24"/>
    <w:rsid w:val="00B81729"/>
    <w:rsid w:val="00B81DDC"/>
    <w:rsid w:val="00B82096"/>
    <w:rsid w:val="00B82249"/>
    <w:rsid w:val="00B867FF"/>
    <w:rsid w:val="00B87FA6"/>
    <w:rsid w:val="00BA0000"/>
    <w:rsid w:val="00BA0B19"/>
    <w:rsid w:val="00BA0E4E"/>
    <w:rsid w:val="00BA1DBA"/>
    <w:rsid w:val="00BA1F2E"/>
    <w:rsid w:val="00BA2A6B"/>
    <w:rsid w:val="00BA3122"/>
    <w:rsid w:val="00BA7138"/>
    <w:rsid w:val="00BA73C4"/>
    <w:rsid w:val="00BB12EA"/>
    <w:rsid w:val="00BB150B"/>
    <w:rsid w:val="00BB1849"/>
    <w:rsid w:val="00BB2AF2"/>
    <w:rsid w:val="00BB4AA8"/>
    <w:rsid w:val="00BB57BE"/>
    <w:rsid w:val="00BB6A87"/>
    <w:rsid w:val="00BB6B6B"/>
    <w:rsid w:val="00BB7E05"/>
    <w:rsid w:val="00BC124A"/>
    <w:rsid w:val="00BC2106"/>
    <w:rsid w:val="00BC32E1"/>
    <w:rsid w:val="00BC3496"/>
    <w:rsid w:val="00BC35AC"/>
    <w:rsid w:val="00BC6266"/>
    <w:rsid w:val="00BD0915"/>
    <w:rsid w:val="00BD0CE5"/>
    <w:rsid w:val="00BD1472"/>
    <w:rsid w:val="00BD1AF7"/>
    <w:rsid w:val="00BD1BC1"/>
    <w:rsid w:val="00BD2A3F"/>
    <w:rsid w:val="00BD3DAF"/>
    <w:rsid w:val="00BD5E8D"/>
    <w:rsid w:val="00BD6DC9"/>
    <w:rsid w:val="00BD730B"/>
    <w:rsid w:val="00BD7CF3"/>
    <w:rsid w:val="00BE01E9"/>
    <w:rsid w:val="00BE0CDC"/>
    <w:rsid w:val="00BE4982"/>
    <w:rsid w:val="00BE62D0"/>
    <w:rsid w:val="00BE68A4"/>
    <w:rsid w:val="00BF1769"/>
    <w:rsid w:val="00BF191F"/>
    <w:rsid w:val="00BF2BBE"/>
    <w:rsid w:val="00BF52B2"/>
    <w:rsid w:val="00BF7C68"/>
    <w:rsid w:val="00C00855"/>
    <w:rsid w:val="00C11F22"/>
    <w:rsid w:val="00C139A1"/>
    <w:rsid w:val="00C160A3"/>
    <w:rsid w:val="00C17678"/>
    <w:rsid w:val="00C179E9"/>
    <w:rsid w:val="00C203FF"/>
    <w:rsid w:val="00C2089E"/>
    <w:rsid w:val="00C208F9"/>
    <w:rsid w:val="00C20EB3"/>
    <w:rsid w:val="00C213B6"/>
    <w:rsid w:val="00C22ED9"/>
    <w:rsid w:val="00C23207"/>
    <w:rsid w:val="00C23700"/>
    <w:rsid w:val="00C24FBB"/>
    <w:rsid w:val="00C2555B"/>
    <w:rsid w:val="00C267A6"/>
    <w:rsid w:val="00C30613"/>
    <w:rsid w:val="00C31206"/>
    <w:rsid w:val="00C315D8"/>
    <w:rsid w:val="00C351E9"/>
    <w:rsid w:val="00C35484"/>
    <w:rsid w:val="00C37505"/>
    <w:rsid w:val="00C37738"/>
    <w:rsid w:val="00C377FD"/>
    <w:rsid w:val="00C4034A"/>
    <w:rsid w:val="00C40B0A"/>
    <w:rsid w:val="00C40CDA"/>
    <w:rsid w:val="00C40D01"/>
    <w:rsid w:val="00C411FE"/>
    <w:rsid w:val="00C43BB7"/>
    <w:rsid w:val="00C443C8"/>
    <w:rsid w:val="00C476F9"/>
    <w:rsid w:val="00C478B8"/>
    <w:rsid w:val="00C503ED"/>
    <w:rsid w:val="00C51D0F"/>
    <w:rsid w:val="00C52BC2"/>
    <w:rsid w:val="00C5354D"/>
    <w:rsid w:val="00C54F28"/>
    <w:rsid w:val="00C565C8"/>
    <w:rsid w:val="00C56EB0"/>
    <w:rsid w:val="00C6026F"/>
    <w:rsid w:val="00C61157"/>
    <w:rsid w:val="00C617B3"/>
    <w:rsid w:val="00C64A4B"/>
    <w:rsid w:val="00C65C15"/>
    <w:rsid w:val="00C679D8"/>
    <w:rsid w:val="00C67C2D"/>
    <w:rsid w:val="00C67CE4"/>
    <w:rsid w:val="00C75105"/>
    <w:rsid w:val="00C76B93"/>
    <w:rsid w:val="00C76D84"/>
    <w:rsid w:val="00C807E6"/>
    <w:rsid w:val="00C80A4B"/>
    <w:rsid w:val="00C80CFA"/>
    <w:rsid w:val="00C829DB"/>
    <w:rsid w:val="00C82A9F"/>
    <w:rsid w:val="00C82CB3"/>
    <w:rsid w:val="00C83317"/>
    <w:rsid w:val="00C83ADE"/>
    <w:rsid w:val="00C8467C"/>
    <w:rsid w:val="00C8564F"/>
    <w:rsid w:val="00C864D0"/>
    <w:rsid w:val="00C868FF"/>
    <w:rsid w:val="00C906CD"/>
    <w:rsid w:val="00C91709"/>
    <w:rsid w:val="00C9326E"/>
    <w:rsid w:val="00C9472F"/>
    <w:rsid w:val="00C954A9"/>
    <w:rsid w:val="00C96790"/>
    <w:rsid w:val="00C96B88"/>
    <w:rsid w:val="00CA1D1D"/>
    <w:rsid w:val="00CA3894"/>
    <w:rsid w:val="00CA49F7"/>
    <w:rsid w:val="00CA5395"/>
    <w:rsid w:val="00CA59F4"/>
    <w:rsid w:val="00CA6121"/>
    <w:rsid w:val="00CA74C1"/>
    <w:rsid w:val="00CB12F9"/>
    <w:rsid w:val="00CB1557"/>
    <w:rsid w:val="00CB20D9"/>
    <w:rsid w:val="00CB2A0F"/>
    <w:rsid w:val="00CB2D49"/>
    <w:rsid w:val="00CB2E3E"/>
    <w:rsid w:val="00CB4F03"/>
    <w:rsid w:val="00CB5C8B"/>
    <w:rsid w:val="00CB5FAA"/>
    <w:rsid w:val="00CB7090"/>
    <w:rsid w:val="00CC25C0"/>
    <w:rsid w:val="00CC7130"/>
    <w:rsid w:val="00CC736E"/>
    <w:rsid w:val="00CD0015"/>
    <w:rsid w:val="00CD18A8"/>
    <w:rsid w:val="00CD2448"/>
    <w:rsid w:val="00CD6C02"/>
    <w:rsid w:val="00CE041F"/>
    <w:rsid w:val="00CE0D70"/>
    <w:rsid w:val="00CE2F1A"/>
    <w:rsid w:val="00CE677A"/>
    <w:rsid w:val="00CE6A02"/>
    <w:rsid w:val="00CF03A2"/>
    <w:rsid w:val="00CF05AC"/>
    <w:rsid w:val="00CF091A"/>
    <w:rsid w:val="00CF1899"/>
    <w:rsid w:val="00CF2964"/>
    <w:rsid w:val="00CF337F"/>
    <w:rsid w:val="00CF361E"/>
    <w:rsid w:val="00CF395C"/>
    <w:rsid w:val="00CF3F57"/>
    <w:rsid w:val="00CF4F26"/>
    <w:rsid w:val="00CF691D"/>
    <w:rsid w:val="00CF7A24"/>
    <w:rsid w:val="00D00C67"/>
    <w:rsid w:val="00D020C9"/>
    <w:rsid w:val="00D05508"/>
    <w:rsid w:val="00D06C87"/>
    <w:rsid w:val="00D06E34"/>
    <w:rsid w:val="00D10758"/>
    <w:rsid w:val="00D1409B"/>
    <w:rsid w:val="00D15DD4"/>
    <w:rsid w:val="00D171CB"/>
    <w:rsid w:val="00D2078A"/>
    <w:rsid w:val="00D20A9E"/>
    <w:rsid w:val="00D22648"/>
    <w:rsid w:val="00D22C09"/>
    <w:rsid w:val="00D24E64"/>
    <w:rsid w:val="00D25569"/>
    <w:rsid w:val="00D31BA1"/>
    <w:rsid w:val="00D324BB"/>
    <w:rsid w:val="00D32897"/>
    <w:rsid w:val="00D3375D"/>
    <w:rsid w:val="00D3491E"/>
    <w:rsid w:val="00D34B3D"/>
    <w:rsid w:val="00D353B3"/>
    <w:rsid w:val="00D3547E"/>
    <w:rsid w:val="00D3555F"/>
    <w:rsid w:val="00D36403"/>
    <w:rsid w:val="00D40802"/>
    <w:rsid w:val="00D41373"/>
    <w:rsid w:val="00D45D69"/>
    <w:rsid w:val="00D4676E"/>
    <w:rsid w:val="00D47784"/>
    <w:rsid w:val="00D50728"/>
    <w:rsid w:val="00D515E7"/>
    <w:rsid w:val="00D526C2"/>
    <w:rsid w:val="00D54557"/>
    <w:rsid w:val="00D558BB"/>
    <w:rsid w:val="00D56E0D"/>
    <w:rsid w:val="00D574D9"/>
    <w:rsid w:val="00D61B3A"/>
    <w:rsid w:val="00D6248E"/>
    <w:rsid w:val="00D641EC"/>
    <w:rsid w:val="00D6463E"/>
    <w:rsid w:val="00D6495E"/>
    <w:rsid w:val="00D64C63"/>
    <w:rsid w:val="00D66435"/>
    <w:rsid w:val="00D66F6E"/>
    <w:rsid w:val="00D72056"/>
    <w:rsid w:val="00D7508C"/>
    <w:rsid w:val="00D75566"/>
    <w:rsid w:val="00D77B9B"/>
    <w:rsid w:val="00D811A7"/>
    <w:rsid w:val="00D82396"/>
    <w:rsid w:val="00D8580A"/>
    <w:rsid w:val="00D8716B"/>
    <w:rsid w:val="00D912C2"/>
    <w:rsid w:val="00D91891"/>
    <w:rsid w:val="00D91CFF"/>
    <w:rsid w:val="00D93BD5"/>
    <w:rsid w:val="00D94E6F"/>
    <w:rsid w:val="00D95CD3"/>
    <w:rsid w:val="00D95D5D"/>
    <w:rsid w:val="00D962BD"/>
    <w:rsid w:val="00D96B68"/>
    <w:rsid w:val="00D96D82"/>
    <w:rsid w:val="00DA2302"/>
    <w:rsid w:val="00DA37AE"/>
    <w:rsid w:val="00DA43A6"/>
    <w:rsid w:val="00DA6454"/>
    <w:rsid w:val="00DA7EC3"/>
    <w:rsid w:val="00DB0595"/>
    <w:rsid w:val="00DB1CE3"/>
    <w:rsid w:val="00DB1FA8"/>
    <w:rsid w:val="00DB4EAC"/>
    <w:rsid w:val="00DB603A"/>
    <w:rsid w:val="00DB74D3"/>
    <w:rsid w:val="00DC02F7"/>
    <w:rsid w:val="00DC0825"/>
    <w:rsid w:val="00DC4B3C"/>
    <w:rsid w:val="00DC5A3E"/>
    <w:rsid w:val="00DC5CF8"/>
    <w:rsid w:val="00DC6276"/>
    <w:rsid w:val="00DC74C1"/>
    <w:rsid w:val="00DC7C1F"/>
    <w:rsid w:val="00DD191A"/>
    <w:rsid w:val="00DD365D"/>
    <w:rsid w:val="00DD4D67"/>
    <w:rsid w:val="00DD5524"/>
    <w:rsid w:val="00DD77EF"/>
    <w:rsid w:val="00DE0107"/>
    <w:rsid w:val="00DE155E"/>
    <w:rsid w:val="00DE18A5"/>
    <w:rsid w:val="00DE1EF1"/>
    <w:rsid w:val="00DE3141"/>
    <w:rsid w:val="00DE31C0"/>
    <w:rsid w:val="00DE3B29"/>
    <w:rsid w:val="00DE4BBC"/>
    <w:rsid w:val="00DE7384"/>
    <w:rsid w:val="00DF1EE5"/>
    <w:rsid w:val="00DF1F6D"/>
    <w:rsid w:val="00DF240C"/>
    <w:rsid w:val="00DF4302"/>
    <w:rsid w:val="00DF54C3"/>
    <w:rsid w:val="00DF5F01"/>
    <w:rsid w:val="00DF6D1D"/>
    <w:rsid w:val="00DF70EA"/>
    <w:rsid w:val="00E01066"/>
    <w:rsid w:val="00E01FF5"/>
    <w:rsid w:val="00E02331"/>
    <w:rsid w:val="00E02C71"/>
    <w:rsid w:val="00E04B03"/>
    <w:rsid w:val="00E05924"/>
    <w:rsid w:val="00E06699"/>
    <w:rsid w:val="00E07F2A"/>
    <w:rsid w:val="00E10A02"/>
    <w:rsid w:val="00E11697"/>
    <w:rsid w:val="00E11969"/>
    <w:rsid w:val="00E12831"/>
    <w:rsid w:val="00E12BBC"/>
    <w:rsid w:val="00E132CD"/>
    <w:rsid w:val="00E139C2"/>
    <w:rsid w:val="00E141B2"/>
    <w:rsid w:val="00E17E19"/>
    <w:rsid w:val="00E21906"/>
    <w:rsid w:val="00E21F72"/>
    <w:rsid w:val="00E233B2"/>
    <w:rsid w:val="00E24721"/>
    <w:rsid w:val="00E2595C"/>
    <w:rsid w:val="00E259EC"/>
    <w:rsid w:val="00E25EA1"/>
    <w:rsid w:val="00E270CD"/>
    <w:rsid w:val="00E27D36"/>
    <w:rsid w:val="00E30B0D"/>
    <w:rsid w:val="00E31BEA"/>
    <w:rsid w:val="00E3318D"/>
    <w:rsid w:val="00E33F3C"/>
    <w:rsid w:val="00E35B42"/>
    <w:rsid w:val="00E40393"/>
    <w:rsid w:val="00E46DEB"/>
    <w:rsid w:val="00E5119F"/>
    <w:rsid w:val="00E513A6"/>
    <w:rsid w:val="00E51685"/>
    <w:rsid w:val="00E53788"/>
    <w:rsid w:val="00E55511"/>
    <w:rsid w:val="00E55F75"/>
    <w:rsid w:val="00E57802"/>
    <w:rsid w:val="00E6005A"/>
    <w:rsid w:val="00E60F6A"/>
    <w:rsid w:val="00E60F91"/>
    <w:rsid w:val="00E62241"/>
    <w:rsid w:val="00E62A9B"/>
    <w:rsid w:val="00E63320"/>
    <w:rsid w:val="00E63760"/>
    <w:rsid w:val="00E654F7"/>
    <w:rsid w:val="00E673A6"/>
    <w:rsid w:val="00E67586"/>
    <w:rsid w:val="00E67D9F"/>
    <w:rsid w:val="00E70DD5"/>
    <w:rsid w:val="00E74524"/>
    <w:rsid w:val="00E7541D"/>
    <w:rsid w:val="00E82545"/>
    <w:rsid w:val="00E82956"/>
    <w:rsid w:val="00E84872"/>
    <w:rsid w:val="00E849AB"/>
    <w:rsid w:val="00E84BA2"/>
    <w:rsid w:val="00E8510D"/>
    <w:rsid w:val="00E86526"/>
    <w:rsid w:val="00E8756D"/>
    <w:rsid w:val="00E91F3B"/>
    <w:rsid w:val="00E92F90"/>
    <w:rsid w:val="00E932C2"/>
    <w:rsid w:val="00E93C81"/>
    <w:rsid w:val="00E947ED"/>
    <w:rsid w:val="00E94AE3"/>
    <w:rsid w:val="00E96CEA"/>
    <w:rsid w:val="00E97858"/>
    <w:rsid w:val="00EA0072"/>
    <w:rsid w:val="00EA051D"/>
    <w:rsid w:val="00EA095B"/>
    <w:rsid w:val="00EA0A6A"/>
    <w:rsid w:val="00EA0FFE"/>
    <w:rsid w:val="00EA18A1"/>
    <w:rsid w:val="00EA3B9D"/>
    <w:rsid w:val="00EA6685"/>
    <w:rsid w:val="00EA6848"/>
    <w:rsid w:val="00EB00AF"/>
    <w:rsid w:val="00EB239E"/>
    <w:rsid w:val="00EB2459"/>
    <w:rsid w:val="00EB2E18"/>
    <w:rsid w:val="00EB3497"/>
    <w:rsid w:val="00EB3551"/>
    <w:rsid w:val="00EB3912"/>
    <w:rsid w:val="00EB3E64"/>
    <w:rsid w:val="00EB658E"/>
    <w:rsid w:val="00EB6D2A"/>
    <w:rsid w:val="00EB71D8"/>
    <w:rsid w:val="00EC2616"/>
    <w:rsid w:val="00EC2FFF"/>
    <w:rsid w:val="00EC5501"/>
    <w:rsid w:val="00EC65C3"/>
    <w:rsid w:val="00EC6C34"/>
    <w:rsid w:val="00EC755F"/>
    <w:rsid w:val="00EC7899"/>
    <w:rsid w:val="00EC7CF7"/>
    <w:rsid w:val="00ED2477"/>
    <w:rsid w:val="00ED5670"/>
    <w:rsid w:val="00ED6306"/>
    <w:rsid w:val="00ED6BBA"/>
    <w:rsid w:val="00ED7665"/>
    <w:rsid w:val="00EE1095"/>
    <w:rsid w:val="00EE1EE5"/>
    <w:rsid w:val="00EE2493"/>
    <w:rsid w:val="00EE4DA3"/>
    <w:rsid w:val="00EE5506"/>
    <w:rsid w:val="00EE66A3"/>
    <w:rsid w:val="00EE7585"/>
    <w:rsid w:val="00EF1423"/>
    <w:rsid w:val="00EF264A"/>
    <w:rsid w:val="00EF28FA"/>
    <w:rsid w:val="00EF4A01"/>
    <w:rsid w:val="00EF5365"/>
    <w:rsid w:val="00EF5441"/>
    <w:rsid w:val="00F00A29"/>
    <w:rsid w:val="00F01AFD"/>
    <w:rsid w:val="00F01B3D"/>
    <w:rsid w:val="00F01C2C"/>
    <w:rsid w:val="00F01ECE"/>
    <w:rsid w:val="00F03846"/>
    <w:rsid w:val="00F042BA"/>
    <w:rsid w:val="00F10109"/>
    <w:rsid w:val="00F10260"/>
    <w:rsid w:val="00F13332"/>
    <w:rsid w:val="00F1409D"/>
    <w:rsid w:val="00F144AB"/>
    <w:rsid w:val="00F14B22"/>
    <w:rsid w:val="00F15D5C"/>
    <w:rsid w:val="00F16A1C"/>
    <w:rsid w:val="00F2040D"/>
    <w:rsid w:val="00F20EF4"/>
    <w:rsid w:val="00F22400"/>
    <w:rsid w:val="00F2252A"/>
    <w:rsid w:val="00F23F6A"/>
    <w:rsid w:val="00F2795F"/>
    <w:rsid w:val="00F32384"/>
    <w:rsid w:val="00F329A6"/>
    <w:rsid w:val="00F33AF7"/>
    <w:rsid w:val="00F34F93"/>
    <w:rsid w:val="00F37655"/>
    <w:rsid w:val="00F378BC"/>
    <w:rsid w:val="00F37EAC"/>
    <w:rsid w:val="00F37EEA"/>
    <w:rsid w:val="00F40261"/>
    <w:rsid w:val="00F41695"/>
    <w:rsid w:val="00F41CC6"/>
    <w:rsid w:val="00F41E01"/>
    <w:rsid w:val="00F44FD0"/>
    <w:rsid w:val="00F46067"/>
    <w:rsid w:val="00F46402"/>
    <w:rsid w:val="00F47CD4"/>
    <w:rsid w:val="00F47D55"/>
    <w:rsid w:val="00F5188C"/>
    <w:rsid w:val="00F51B4B"/>
    <w:rsid w:val="00F55556"/>
    <w:rsid w:val="00F5597E"/>
    <w:rsid w:val="00F60482"/>
    <w:rsid w:val="00F6196A"/>
    <w:rsid w:val="00F61EE2"/>
    <w:rsid w:val="00F649F0"/>
    <w:rsid w:val="00F653B1"/>
    <w:rsid w:val="00F65941"/>
    <w:rsid w:val="00F66EB6"/>
    <w:rsid w:val="00F72474"/>
    <w:rsid w:val="00F73159"/>
    <w:rsid w:val="00F736E3"/>
    <w:rsid w:val="00F7434A"/>
    <w:rsid w:val="00F74DA5"/>
    <w:rsid w:val="00F75D62"/>
    <w:rsid w:val="00F7681B"/>
    <w:rsid w:val="00F77C93"/>
    <w:rsid w:val="00F80F21"/>
    <w:rsid w:val="00F80FA8"/>
    <w:rsid w:val="00F81D4F"/>
    <w:rsid w:val="00F81F2D"/>
    <w:rsid w:val="00F82DB3"/>
    <w:rsid w:val="00F82E2B"/>
    <w:rsid w:val="00F840E9"/>
    <w:rsid w:val="00F863A8"/>
    <w:rsid w:val="00F867C9"/>
    <w:rsid w:val="00F86DC7"/>
    <w:rsid w:val="00F90B78"/>
    <w:rsid w:val="00F91262"/>
    <w:rsid w:val="00F9258C"/>
    <w:rsid w:val="00F93AE2"/>
    <w:rsid w:val="00F93AFA"/>
    <w:rsid w:val="00F94CC4"/>
    <w:rsid w:val="00F957A3"/>
    <w:rsid w:val="00F97F3D"/>
    <w:rsid w:val="00FA049E"/>
    <w:rsid w:val="00FA1083"/>
    <w:rsid w:val="00FA1DF4"/>
    <w:rsid w:val="00FA278A"/>
    <w:rsid w:val="00FA30BF"/>
    <w:rsid w:val="00FA387A"/>
    <w:rsid w:val="00FA49CF"/>
    <w:rsid w:val="00FA60F5"/>
    <w:rsid w:val="00FA611E"/>
    <w:rsid w:val="00FA65D1"/>
    <w:rsid w:val="00FA68A5"/>
    <w:rsid w:val="00FB0CF8"/>
    <w:rsid w:val="00FB2B88"/>
    <w:rsid w:val="00FB2F65"/>
    <w:rsid w:val="00FB5754"/>
    <w:rsid w:val="00FB6EA6"/>
    <w:rsid w:val="00FC067A"/>
    <w:rsid w:val="00FC158C"/>
    <w:rsid w:val="00FC1B74"/>
    <w:rsid w:val="00FC560F"/>
    <w:rsid w:val="00FC5FEC"/>
    <w:rsid w:val="00FC6E24"/>
    <w:rsid w:val="00FD116B"/>
    <w:rsid w:val="00FD34E0"/>
    <w:rsid w:val="00FD3A07"/>
    <w:rsid w:val="00FD6038"/>
    <w:rsid w:val="00FD6B40"/>
    <w:rsid w:val="00FD6E5B"/>
    <w:rsid w:val="00FD6F74"/>
    <w:rsid w:val="00FD739D"/>
    <w:rsid w:val="00FD7DC8"/>
    <w:rsid w:val="00FD7EE0"/>
    <w:rsid w:val="00FE00C1"/>
    <w:rsid w:val="00FE3F85"/>
    <w:rsid w:val="00FE3FF7"/>
    <w:rsid w:val="00FE4051"/>
    <w:rsid w:val="00FE4CD6"/>
    <w:rsid w:val="00FE550F"/>
    <w:rsid w:val="00FE5B55"/>
    <w:rsid w:val="00FE79D6"/>
    <w:rsid w:val="00FF13BC"/>
    <w:rsid w:val="00FF18C6"/>
    <w:rsid w:val="00FF1C23"/>
    <w:rsid w:val="00FF3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5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B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4B3C"/>
  </w:style>
  <w:style w:type="paragraph" w:styleId="a5">
    <w:name w:val="footer"/>
    <w:basedOn w:val="a"/>
    <w:link w:val="a6"/>
    <w:uiPriority w:val="99"/>
    <w:unhideWhenUsed/>
    <w:rsid w:val="00DC4B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4B3C"/>
  </w:style>
  <w:style w:type="paragraph" w:styleId="a7">
    <w:name w:val="Balloon Text"/>
    <w:basedOn w:val="a"/>
    <w:link w:val="a8"/>
    <w:uiPriority w:val="99"/>
    <w:semiHidden/>
    <w:unhideWhenUsed/>
    <w:rsid w:val="00DC4B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C4B3C"/>
    <w:rPr>
      <w:rFonts w:ascii="Tahoma" w:hAnsi="Tahoma" w:cs="Tahoma"/>
      <w:sz w:val="16"/>
      <w:szCs w:val="16"/>
    </w:rPr>
  </w:style>
  <w:style w:type="paragraph" w:styleId="a9">
    <w:name w:val="Normal Indent"/>
    <w:aliases w:val="Обычный отступ Знак1 Знак,Обычный отступ Знак2,Обычный отступ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Стиль абзаца"/>
    <w:basedOn w:val="a"/>
    <w:link w:val="1"/>
    <w:uiPriority w:val="99"/>
    <w:rsid w:val="00DF4302"/>
    <w:pPr>
      <w:spacing w:after="180" w:line="240" w:lineRule="auto"/>
      <w:ind w:left="709"/>
      <w:jc w:val="both"/>
    </w:pPr>
    <w:rPr>
      <w:rFonts w:eastAsia="Times New Roman" w:cs="Times New Roman"/>
      <w:sz w:val="24"/>
      <w:szCs w:val="24"/>
      <w:lang w:eastAsia="ru-RU"/>
    </w:rPr>
  </w:style>
  <w:style w:type="character" w:customStyle="1" w:styleId="1">
    <w:name w:val="Обычный отступ Знак1"/>
    <w:aliases w:val="Обычный отступ Знак1 Знак Знак,Обычный отступ Знак2 Знак,Обычный отступ Знак Знак,Обычный отступ Знак Знак Знак Знак,Обычный отступ Знак1 Знак Знак Знак Знак,Обычный отступ Знак Знак Знак Знак Знак Знак,Стиль абзаца Знак"/>
    <w:basedOn w:val="a0"/>
    <w:link w:val="a9"/>
    <w:uiPriority w:val="99"/>
    <w:rsid w:val="00DF4302"/>
    <w:rPr>
      <w:rFonts w:eastAsia="Times New Roman" w:cs="Times New Roman"/>
      <w:sz w:val="24"/>
      <w:szCs w:val="24"/>
      <w:lang w:eastAsia="ru-RU"/>
    </w:rPr>
  </w:style>
  <w:style w:type="paragraph" w:styleId="aa">
    <w:name w:val="List Bullet"/>
    <w:basedOn w:val="a"/>
    <w:autoRedefine/>
    <w:uiPriority w:val="99"/>
    <w:rsid w:val="00694D7A"/>
    <w:pPr>
      <w:tabs>
        <w:tab w:val="num" w:pos="1997"/>
      </w:tabs>
      <w:spacing w:after="0" w:line="240" w:lineRule="auto"/>
    </w:pPr>
    <w:rPr>
      <w:rFonts w:eastAsia="Times New Roman" w:cs="Times New Roman"/>
      <w:sz w:val="24"/>
      <w:szCs w:val="24"/>
      <w:lang w:eastAsia="ru-RU"/>
    </w:rPr>
  </w:style>
  <w:style w:type="paragraph" w:customStyle="1" w:styleId="ab">
    <w:name w:val="Стиль по ширине"/>
    <w:basedOn w:val="a"/>
    <w:uiPriority w:val="99"/>
    <w:rsid w:val="00694D7A"/>
    <w:pPr>
      <w:spacing w:before="120" w:after="120" w:line="240" w:lineRule="auto"/>
      <w:jc w:val="both"/>
    </w:pPr>
    <w:rPr>
      <w:rFonts w:eastAsia="Times New Roman" w:cs="Times New Roman"/>
      <w:sz w:val="24"/>
      <w:szCs w:val="20"/>
      <w:lang w:eastAsia="ru-RU"/>
    </w:rPr>
  </w:style>
  <w:style w:type="character" w:customStyle="1" w:styleId="apple-converted-space">
    <w:name w:val="apple-converted-space"/>
    <w:basedOn w:val="a0"/>
    <w:rsid w:val="00003A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B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4B3C"/>
  </w:style>
  <w:style w:type="paragraph" w:styleId="a5">
    <w:name w:val="footer"/>
    <w:basedOn w:val="a"/>
    <w:link w:val="a6"/>
    <w:uiPriority w:val="99"/>
    <w:unhideWhenUsed/>
    <w:rsid w:val="00DC4B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4B3C"/>
  </w:style>
  <w:style w:type="paragraph" w:styleId="a7">
    <w:name w:val="Balloon Text"/>
    <w:basedOn w:val="a"/>
    <w:link w:val="a8"/>
    <w:uiPriority w:val="99"/>
    <w:semiHidden/>
    <w:unhideWhenUsed/>
    <w:rsid w:val="00DC4B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C4B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b="0"/>
              <a:t>Коэффициент Джини равен нулю</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b="0"/>
              <a:t> ИДЕАЛЬНОЕ РАВЕНСТВО ДОХОДОВ</a:t>
            </a:r>
          </a:p>
        </c:rich>
      </c:tx>
      <c:layout>
        <c:manualLayout>
          <c:xMode val="edge"/>
          <c:yMode val="edge"/>
          <c:x val="0.19253901216893374"/>
          <c:y val="2.8690282327847712E-2"/>
        </c:manualLayout>
      </c:layout>
      <c:spPr>
        <a:noFill/>
        <a:ln>
          <a:noFill/>
        </a:ln>
        <a:effectLst/>
      </c:spPr>
    </c:title>
    <c:plotArea>
      <c:layout/>
      <c:lineChart>
        <c:grouping val="standard"/>
        <c:ser>
          <c:idx val="0"/>
          <c:order val="0"/>
          <c:spPr>
            <a:ln w="28575" cap="rnd">
              <a:solidFill>
                <a:srgbClr val="FF0000"/>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ru-RU"/>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'Графики проверка'!$C$70:$C$80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'Графики проверка'!$B$70:$B$80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er>
        <c:dLbls>
          <c:showVal val="1"/>
        </c:dLbls>
        <c:marker val="1"/>
        <c:axId val="95522816"/>
        <c:axId val="95592832"/>
      </c:lineChart>
      <c:catAx>
        <c:axId val="95522816"/>
        <c:scaling>
          <c:orientation val="minMax"/>
        </c:scaling>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t>Процент населения</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95592832"/>
        <c:crosses val="autoZero"/>
        <c:auto val="1"/>
        <c:lblAlgn val="ctr"/>
        <c:lblOffset val="100"/>
      </c:catAx>
      <c:valAx>
        <c:axId val="95592832"/>
        <c:scaling>
          <c:orientation val="minMax"/>
          <c:max val="100"/>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t>Суммарная зарплата</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95522816"/>
        <c:crosses val="autoZero"/>
        <c:crossBetween val="midCat"/>
      </c:valAx>
      <c:spPr>
        <a:noFill/>
        <a:ln>
          <a:noFill/>
        </a:ln>
        <a:effectLst/>
      </c:spPr>
    </c:plotArea>
    <c:plotVisOnly val="1"/>
    <c:dispBlanksAs val="gap"/>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b="0" i="0" baseline="0" dirty="0" smtClean="0">
                <a:effectLst/>
              </a:rPr>
              <a:t>Коэффициент Джини равен единице</a:t>
            </a:r>
            <a:endParaRPr lang="ru-RU" sz="1200" dirty="0" smtClean="0">
              <a:effectLst/>
            </a:endParaRPr>
          </a:p>
          <a:p>
            <a:pPr>
              <a:defRPr sz="12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b="0" i="0" baseline="0" dirty="0" smtClean="0">
                <a:effectLst/>
              </a:rPr>
              <a:t>АБСОЛЮТНОЕ НЕРАВЕНСТВО ДОХОДОВ</a:t>
            </a:r>
            <a:endParaRPr lang="ru-RU" sz="1200" dirty="0">
              <a:effectLst/>
            </a:endParaRPr>
          </a:p>
        </c:rich>
      </c:tx>
      <c:layout>
        <c:manualLayout>
          <c:xMode val="edge"/>
          <c:yMode val="edge"/>
          <c:x val="0.12798233554139149"/>
          <c:y val="3.163242525718768E-2"/>
        </c:manualLayout>
      </c:layout>
      <c:spPr>
        <a:noFill/>
        <a:ln>
          <a:noFill/>
        </a:ln>
        <a:effectLst/>
      </c:spPr>
    </c:title>
    <c:plotArea>
      <c:layout>
        <c:manualLayout>
          <c:layoutTarget val="inner"/>
          <c:xMode val="edge"/>
          <c:yMode val="edge"/>
          <c:x val="0.11788101722790031"/>
          <c:y val="0.21759882085979201"/>
          <c:w val="0.80044540524618923"/>
          <c:h val="0.6433181767771986"/>
        </c:manualLayout>
      </c:layout>
      <c:lineChart>
        <c:grouping val="standard"/>
        <c:ser>
          <c:idx val="0"/>
          <c:order val="0"/>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ru-RU"/>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'Графики проверка'!$C$70:$C$80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'Графики проверка'!$B$70:$B$80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er>
        <c:dLbls>
          <c:showVal val="1"/>
        </c:dLbls>
        <c:marker val="1"/>
        <c:axId val="121044992"/>
        <c:axId val="132996480"/>
      </c:lineChart>
      <c:catAx>
        <c:axId val="121044992"/>
        <c:scaling>
          <c:orientation val="minMax"/>
        </c:scaling>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dirty="0" smtClean="0"/>
                  <a:t>Процент населения</a:t>
                </a:r>
                <a:endParaRPr lang="ru-RU" dirty="0"/>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132996480"/>
        <c:crosses val="autoZero"/>
        <c:auto val="1"/>
        <c:lblAlgn val="ctr"/>
        <c:lblOffset val="100"/>
      </c:catAx>
      <c:valAx>
        <c:axId val="132996480"/>
        <c:scaling>
          <c:orientation val="minMax"/>
          <c:max val="100"/>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dirty="0" smtClean="0"/>
                  <a:t>Суммарная</a:t>
                </a:r>
                <a:r>
                  <a:rPr lang="ru-RU" baseline="0" dirty="0" smtClean="0"/>
                  <a:t> зарплата</a:t>
                </a:r>
                <a:endParaRPr lang="ru-RU" dirty="0"/>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121044992"/>
        <c:crosses val="autoZero"/>
        <c:crossBetween val="midCat"/>
      </c:valAx>
      <c:spPr>
        <a:noFill/>
        <a:ln w="25400">
          <a:noFill/>
        </a:ln>
        <a:effectLst/>
      </c:spPr>
    </c:plotArea>
    <c:plotVisOnly val="1"/>
    <c:dispBlanksAs val="gap"/>
  </c:chart>
  <c:spPr>
    <a:solidFill>
      <a:schemeClr val="bg1"/>
    </a:solidFill>
    <a:ln w="9525" cap="flat" cmpd="sng" algn="ctr">
      <a:noFill/>
      <a:round/>
    </a:ln>
    <a:effectLst/>
  </c:spPr>
  <c:txPr>
    <a:bodyPr/>
    <a:lstStyle/>
    <a:p>
      <a:pPr>
        <a:defRPr sz="1000">
          <a:latin typeface="Arial" panose="020B0604020202020204" pitchFamily="34" charset="0"/>
          <a:cs typeface="Arial" panose="020B0604020202020204" pitchFamily="34" charset="0"/>
        </a:defRPr>
      </a:pPr>
      <a:endParaRPr lang="ru-RU"/>
    </a:p>
  </c:txPr>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a:t>Стандартный вид графика для расчета коэффициента Джини (кривая Лоренца)</a:t>
            </a:r>
          </a:p>
        </c:rich>
      </c:tx>
      <c:layout>
        <c:manualLayout>
          <c:xMode val="edge"/>
          <c:yMode val="edge"/>
          <c:x val="0.1979665699682277"/>
          <c:y val="3.4964793706735664E-2"/>
        </c:manualLayout>
      </c:layout>
      <c:spPr>
        <a:noFill/>
        <a:ln>
          <a:noFill/>
        </a:ln>
        <a:effectLst/>
      </c:spPr>
    </c:title>
    <c:plotArea>
      <c:layout/>
      <c:lineChart>
        <c:grouping val="standard"/>
        <c:ser>
          <c:idx val="0"/>
          <c:order val="0"/>
          <c:spPr>
            <a:ln w="28575" cap="rnd">
              <a:solidFill>
                <a:srgbClr val="66003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ru-RU"/>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'Графики проверка'!$B$70:$B$80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'Графики проверка'!$A$70:$A$80</c:f>
              <c:numCache>
                <c:formatCode>0.0</c:formatCode>
                <c:ptCount val="11"/>
                <c:pt idx="0">
                  <c:v>1.1043061313285073E-2</c:v>
                </c:pt>
                <c:pt idx="1">
                  <c:v>0.82634462355586946</c:v>
                </c:pt>
                <c:pt idx="2">
                  <c:v>1.9050082161364288</c:v>
                </c:pt>
                <c:pt idx="3">
                  <c:v>3.4628675840563847</c:v>
                </c:pt>
                <c:pt idx="4">
                  <c:v>5.8520128220089287</c:v>
                </c:pt>
                <c:pt idx="5">
                  <c:v>9.4891907604998789</c:v>
                </c:pt>
                <c:pt idx="6">
                  <c:v>12.292875037979266</c:v>
                </c:pt>
                <c:pt idx="7">
                  <c:v>21.691756634149026</c:v>
                </c:pt>
                <c:pt idx="8">
                  <c:v>34.291935149819743</c:v>
                </c:pt>
                <c:pt idx="9">
                  <c:v>60</c:v>
                </c:pt>
                <c:pt idx="10">
                  <c:v>100</c:v>
                </c:pt>
              </c:numCache>
            </c:numRef>
          </c:val>
        </c:ser>
        <c:ser>
          <c:idx val="1"/>
          <c:order val="1"/>
          <c:spPr>
            <a:ln w="28575" cap="rnd">
              <a:solidFill>
                <a:srgbClr val="FF0000"/>
              </a:solidFill>
              <a:round/>
            </a:ln>
            <a:effectLst/>
          </c:spPr>
          <c:marker>
            <c:symbol val="none"/>
          </c:marker>
          <c:cat>
            <c:numRef>
              <c:f>'Графики проверка'!$B$70:$B$80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'Графики проверка'!$B$70:$B$80</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er>
        <c:marker val="1"/>
        <c:axId val="138819072"/>
        <c:axId val="95551872"/>
      </c:lineChart>
      <c:catAx>
        <c:axId val="138819072"/>
        <c:scaling>
          <c:orientation val="minMax"/>
        </c:scaling>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t>Процент населения</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95551872"/>
        <c:crosses val="autoZero"/>
        <c:auto val="1"/>
        <c:lblAlgn val="ctr"/>
        <c:lblOffset val="100"/>
      </c:catAx>
      <c:valAx>
        <c:axId val="95551872"/>
        <c:scaling>
          <c:orientation val="minMax"/>
          <c:max val="100"/>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t>Суммарная зарплата</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138819072"/>
        <c:crosses val="autoZero"/>
        <c:crossBetween val="midCat"/>
      </c:valAx>
      <c:spPr>
        <a:noFill/>
        <a:ln>
          <a:noFill/>
        </a:ln>
        <a:effectLst/>
      </c:spPr>
    </c:plotArea>
    <c:plotVisOnly val="1"/>
    <c:dispBlanksAs val="gap"/>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599455889931607"/>
          <c:y val="0.20605331596471047"/>
          <c:w val="0.7117607404337617"/>
          <c:h val="0.61453949240739913"/>
        </c:manualLayout>
      </c:layout>
      <c:lineChart>
        <c:grouping val="standard"/>
        <c:ser>
          <c:idx val="0"/>
          <c:order val="0"/>
          <c:spPr>
            <a:ln w="28575" cap="rnd">
              <a:solidFill>
                <a:srgbClr val="66003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ru-RU"/>
              </a:p>
            </c:txPr>
            <c:dLblPos val="t"/>
            <c:showVal val="1"/>
            <c:extLst>
              <c:ext xmlns:c15="http://schemas.microsoft.com/office/drawing/2012/chart" uri="{CE6537A1-D6FC-4f65-9D91-7224C49458BB}">
                <c15:showLeaderLines val="0"/>
              </c:ext>
            </c:extLst>
          </c:dLbls>
          <c:cat>
            <c:numRef>
              <c:f>'Графики проверка'!$C$3:$C$14</c:f>
              <c:numCache>
                <c:formatCode>General</c:formatCode>
                <c:ptCount val="12"/>
                <c:pt idx="0">
                  <c:v>2.5</c:v>
                </c:pt>
                <c:pt idx="1">
                  <c:v>9.3000000000000007</c:v>
                </c:pt>
                <c:pt idx="2">
                  <c:v>24.4</c:v>
                </c:pt>
                <c:pt idx="3">
                  <c:v>39.1</c:v>
                </c:pt>
                <c:pt idx="4">
                  <c:v>52.3</c:v>
                </c:pt>
                <c:pt idx="5">
                  <c:v>68.3</c:v>
                </c:pt>
                <c:pt idx="6">
                  <c:v>76.7</c:v>
                </c:pt>
                <c:pt idx="7">
                  <c:v>90.8</c:v>
                </c:pt>
                <c:pt idx="8">
                  <c:v>97</c:v>
                </c:pt>
                <c:pt idx="9">
                  <c:v>99.2</c:v>
                </c:pt>
                <c:pt idx="10">
                  <c:v>99.7</c:v>
                </c:pt>
                <c:pt idx="11">
                  <c:v>100</c:v>
                </c:pt>
              </c:numCache>
            </c:numRef>
          </c:cat>
          <c:val>
            <c:numRef>
              <c:f>'Графики проверка'!$B$3:$B$14</c:f>
              <c:numCache>
                <c:formatCode>0.00</c:formatCode>
                <c:ptCount val="12"/>
                <c:pt idx="0">
                  <c:v>0.5104918844552665</c:v>
                </c:pt>
                <c:pt idx="1">
                  <c:v>2.6627256693186721</c:v>
                </c:pt>
                <c:pt idx="2">
                  <c:v>9.6003103790657498</c:v>
                </c:pt>
                <c:pt idx="3">
                  <c:v>18.567866067349193</c:v>
                </c:pt>
                <c:pt idx="4">
                  <c:v>28.776682772685589</c:v>
                </c:pt>
                <c:pt idx="5">
                  <c:v>43.96892125407436</c:v>
                </c:pt>
                <c:pt idx="6">
                  <c:v>53.660099188573163</c:v>
                </c:pt>
                <c:pt idx="7">
                  <c:v>75.253905901030933</c:v>
                </c:pt>
                <c:pt idx="8">
                  <c:v>88.705367056426923</c:v>
                </c:pt>
                <c:pt idx="9">
                  <c:v>95.724630467687135</c:v>
                </c:pt>
                <c:pt idx="10">
                  <c:v>97.958032462178878</c:v>
                </c:pt>
                <c:pt idx="11">
                  <c:v>100</c:v>
                </c:pt>
              </c:numCache>
            </c:numRef>
          </c:val>
        </c:ser>
        <c:marker val="1"/>
        <c:axId val="133088768"/>
        <c:axId val="133090688"/>
      </c:lineChart>
      <c:catAx>
        <c:axId val="133088768"/>
        <c:scaling>
          <c:orientation val="minMax"/>
        </c:scaling>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800">
                    <a:latin typeface="Arial" panose="020B0604020202020204" pitchFamily="34" charset="0"/>
                    <a:cs typeface="Arial" panose="020B0604020202020204" pitchFamily="34" charset="0"/>
                  </a:rPr>
                  <a:t>Коммулятивный ряд численности, %</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133090688"/>
        <c:crosses val="autoZero"/>
        <c:auto val="1"/>
        <c:lblAlgn val="ctr"/>
        <c:lblOffset val="100"/>
      </c:catAx>
      <c:valAx>
        <c:axId val="133090688"/>
        <c:scaling>
          <c:orientation val="minMax"/>
          <c:max val="100"/>
        </c:scaling>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800">
                    <a:latin typeface="Arial" panose="020B0604020202020204" pitchFamily="34" charset="0"/>
                    <a:cs typeface="Arial" panose="020B0604020202020204" pitchFamily="34" charset="0"/>
                  </a:rPr>
                  <a:t>Коммулятивный</a:t>
                </a:r>
                <a:r>
                  <a:rPr lang="ru-RU" sz="800" baseline="0">
                    <a:latin typeface="Arial" panose="020B0604020202020204" pitchFamily="34" charset="0"/>
                    <a:cs typeface="Arial" panose="020B0604020202020204" pitchFamily="34" charset="0"/>
                  </a:rPr>
                  <a:t> ряд </a:t>
                </a:r>
                <a:r>
                  <a:rPr lang="ru-RU" sz="800">
                    <a:latin typeface="Arial" panose="020B0604020202020204" pitchFamily="34" charset="0"/>
                    <a:cs typeface="Arial" panose="020B0604020202020204" pitchFamily="34" charset="0"/>
                  </a:rPr>
                  <a:t> доходов, %</a:t>
                </a:r>
              </a:p>
            </c:rich>
          </c:tx>
          <c:layout>
            <c:manualLayout>
              <c:xMode val="edge"/>
              <c:yMode val="edge"/>
              <c:x val="1.5100840854423224E-2"/>
              <c:y val="0.17392488589528754"/>
            </c:manualLayout>
          </c:layout>
          <c:spPr>
            <a:noFill/>
            <a:ln>
              <a:noFill/>
            </a:ln>
            <a:effectLst/>
          </c:spPr>
        </c:title>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3088768"/>
        <c:crosses val="autoZero"/>
        <c:crossBetween val="midCat"/>
      </c:valAx>
      <c:spPr>
        <a:noFill/>
        <a:ln w="25400">
          <a:noFill/>
        </a:ln>
      </c:spPr>
    </c:plotArea>
    <c:plotVisOnly val="1"/>
    <c:dispBlanksAs val="gap"/>
  </c:chart>
  <c:spPr>
    <a:solidFill>
      <a:schemeClr val="bg1"/>
    </a:solidFill>
    <a:ln w="9525" cap="flat" cmpd="sng" algn="ctr">
      <a:noFill/>
      <a:round/>
    </a:ln>
    <a:effectLst/>
  </c:spPr>
  <c:txPr>
    <a:bodyPr/>
    <a:lstStyle/>
    <a:p>
      <a:pP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vert="horz"/>
          <a:lstStyle/>
          <a:p>
            <a:pPr>
              <a:defRPr/>
            </a:pPr>
            <a:r>
              <a:rPr lang="ru-RU"/>
              <a:t>Рейтинг отраслей экономики </a:t>
            </a:r>
          </a:p>
          <a:p>
            <a:pPr>
              <a:defRPr/>
            </a:pPr>
            <a:r>
              <a:rPr lang="ru-RU"/>
              <a:t>по показателю дифференциации доходов</a:t>
            </a:r>
          </a:p>
        </c:rich>
      </c:tx>
      <c:layout>
        <c:manualLayout>
          <c:xMode val="edge"/>
          <c:yMode val="edge"/>
          <c:x val="0.26812931217199021"/>
          <c:y val="2.7777777777777901E-2"/>
        </c:manualLayout>
      </c:layout>
      <c:spPr>
        <a:noFill/>
        <a:ln w="25400">
          <a:noFill/>
        </a:ln>
      </c:spPr>
    </c:title>
    <c:plotArea>
      <c:layout>
        <c:manualLayout>
          <c:layoutTarget val="inner"/>
          <c:xMode val="edge"/>
          <c:yMode val="edge"/>
          <c:x val="0.15352656025292979"/>
          <c:y val="0.10875968992248072"/>
          <c:w val="0.84506685591339714"/>
          <c:h val="0.44642800463895532"/>
        </c:manualLayout>
      </c:layout>
      <c:barChart>
        <c:barDir val="col"/>
        <c:grouping val="clustered"/>
        <c:ser>
          <c:idx val="0"/>
          <c:order val="0"/>
          <c:spPr>
            <a:solidFill>
              <a:srgbClr val="660033"/>
            </a:solidFill>
            <a:ln w="25400">
              <a:solidFill>
                <a:schemeClr val="tx1">
                  <a:lumMod val="15000"/>
                  <a:lumOff val="85000"/>
                </a:schemeClr>
              </a:solidFill>
            </a:ln>
          </c:spPr>
          <c:dLbls>
            <c:spPr>
              <a:noFill/>
              <a:ln>
                <a:noFill/>
              </a:ln>
              <a:effectLst/>
            </c:spPr>
            <c:txPr>
              <a:bodyPr/>
              <a:lstStyle/>
              <a:p>
                <a:pPr>
                  <a:defRPr sz="600"/>
                </a:pPr>
                <a:endParaRPr lang="ru-RU"/>
              </a:p>
            </c:txPr>
            <c:showVal val="1"/>
            <c:extLst>
              <c:ext xmlns:c15="http://schemas.microsoft.com/office/drawing/2012/chart" uri="{CE6537A1-D6FC-4f65-9D91-7224C49458BB}">
                <c15:showLeaderLines val="1"/>
              </c:ext>
            </c:extLst>
          </c:dLbls>
          <c:cat>
            <c:strRef>
              <c:f>Лист1!$B$12:$B$28</c:f>
              <c:strCache>
                <c:ptCount val="17"/>
                <c:pt idx="0">
                  <c:v>Рыболовство, рыбоводство</c:v>
                </c:pt>
                <c:pt idx="1">
                  <c:v>Деятельность по организации отдыха, развлечений, культуры и спорта</c:v>
                </c:pt>
                <c:pt idx="2">
                  <c:v>Предоставление коммунальных, персональных и социальных услуг</c:v>
                </c:pt>
                <c:pt idx="3">
                  <c:v>Операции с недвижимым имуществом, аренда и предоставление услуг</c:v>
                </c:pt>
                <c:pt idx="4">
                  <c:v>Оптовая и розничная торговля, ремонт автотранспортных средств и мотоциклов</c:v>
                </c:pt>
                <c:pt idx="5">
                  <c:v>Образование</c:v>
                </c:pt>
                <c:pt idx="6">
                  <c:v>Гостиницы и рестораны</c:v>
                </c:pt>
                <c:pt idx="7">
                  <c:v>Здравоохранение и предоставление социальных услуг</c:v>
                </c:pt>
                <c:pt idx="8">
                  <c:v>Транспорт и связь</c:v>
                </c:pt>
                <c:pt idx="9">
                  <c:v>Финансовая деятельность</c:v>
                </c:pt>
                <c:pt idx="10">
                  <c:v>Строительство</c:v>
                </c:pt>
                <c:pt idx="11">
                  <c:v>Государственное управление, обязательное социальное обеспечение, деятельность экстерриториальных организаций</c:v>
                </c:pt>
                <c:pt idx="12">
                  <c:v>Производство и распределение электроэнергии, газа и воды</c:v>
                </c:pt>
                <c:pt idx="13">
                  <c:v>Сельское хозяйство, охота и лесное хозяйство</c:v>
                </c:pt>
                <c:pt idx="14">
                  <c:v>Научные исследования и разработки</c:v>
                </c:pt>
                <c:pt idx="15">
                  <c:v>Обрабатывающие производства</c:v>
                </c:pt>
                <c:pt idx="16">
                  <c:v>Добыча полезных ископаемых</c:v>
                </c:pt>
              </c:strCache>
            </c:strRef>
          </c:cat>
          <c:val>
            <c:numRef>
              <c:f>Лист1!$C$12:$C$28</c:f>
              <c:numCache>
                <c:formatCode>0.000</c:formatCode>
                <c:ptCount val="17"/>
                <c:pt idx="0">
                  <c:v>0.48552115431723031</c:v>
                </c:pt>
                <c:pt idx="1">
                  <c:v>0.41725631936121532</c:v>
                </c:pt>
                <c:pt idx="2">
                  <c:v>0.41207174196746438</c:v>
                </c:pt>
                <c:pt idx="3">
                  <c:v>0.40232308909931408</c:v>
                </c:pt>
                <c:pt idx="4">
                  <c:v>0.39514409065004358</c:v>
                </c:pt>
                <c:pt idx="5">
                  <c:v>0.38447249392376709</c:v>
                </c:pt>
                <c:pt idx="6">
                  <c:v>0.37769956517825587</c:v>
                </c:pt>
                <c:pt idx="7">
                  <c:v>0.36805132318519806</c:v>
                </c:pt>
                <c:pt idx="8">
                  <c:v>0.36200531299078881</c:v>
                </c:pt>
                <c:pt idx="9">
                  <c:v>0.35503437054446457</c:v>
                </c:pt>
                <c:pt idx="10">
                  <c:v>0.35485730263516835</c:v>
                </c:pt>
                <c:pt idx="11">
                  <c:v>0.3490290714630383</c:v>
                </c:pt>
                <c:pt idx="12">
                  <c:v>0.3427184873057339</c:v>
                </c:pt>
                <c:pt idx="13">
                  <c:v>0.33740069018502905</c:v>
                </c:pt>
                <c:pt idx="14">
                  <c:v>0.33392523297906107</c:v>
                </c:pt>
                <c:pt idx="15">
                  <c:v>0.33079981917008477</c:v>
                </c:pt>
                <c:pt idx="16">
                  <c:v>0.31386221021127586</c:v>
                </c:pt>
              </c:numCache>
            </c:numRef>
          </c:val>
        </c:ser>
        <c:gapWidth val="67"/>
        <c:overlap val="-27"/>
        <c:axId val="134127616"/>
        <c:axId val="134129152"/>
      </c:barChart>
      <c:catAx>
        <c:axId val="13412761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vert="horz"/>
          <a:lstStyle/>
          <a:p>
            <a:pPr>
              <a:defRPr sz="600"/>
            </a:pPr>
            <a:endParaRPr lang="ru-RU"/>
          </a:p>
        </c:txPr>
        <c:crossAx val="134129152"/>
        <c:crosses val="autoZero"/>
        <c:auto val="1"/>
        <c:lblAlgn val="ctr"/>
        <c:lblOffset val="100"/>
      </c:catAx>
      <c:valAx>
        <c:axId val="134129152"/>
        <c:scaling>
          <c:orientation val="minMax"/>
        </c:scaling>
        <c:axPos val="l"/>
        <c:majorGridlines>
          <c:spPr>
            <a:ln w="9525" cap="flat" cmpd="sng" algn="ctr">
              <a:solidFill>
                <a:schemeClr val="tx1">
                  <a:lumMod val="15000"/>
                  <a:lumOff val="85000"/>
                </a:schemeClr>
              </a:solidFill>
              <a:round/>
            </a:ln>
            <a:effectLst/>
          </c:spPr>
        </c:majorGridlines>
        <c:numFmt formatCode="0.000" sourceLinked="1"/>
        <c:majorTickMark val="none"/>
        <c:tickLblPos val="nextTo"/>
        <c:spPr>
          <a:ln w="9525">
            <a:noFill/>
          </a:ln>
        </c:spPr>
        <c:txPr>
          <a:bodyPr rot="-60000000" vert="horz"/>
          <a:lstStyle/>
          <a:p>
            <a:pPr>
              <a:defRPr sz="600"/>
            </a:pPr>
            <a:endParaRPr lang="ru-RU"/>
          </a:p>
        </c:txPr>
        <c:crossAx val="134127616"/>
        <c:crosses val="autoZero"/>
        <c:crossBetween val="between"/>
      </c:valAx>
      <c:spPr>
        <a:noFill/>
        <a:ln w="25400">
          <a:noFill/>
        </a:ln>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800">
          <a:solidFill>
            <a:schemeClr val="tx1">
              <a:lumMod val="75000"/>
              <a:lumOff val="25000"/>
            </a:schemeClr>
          </a:solidFill>
          <a:latin typeface="Arial" panose="020B0604020202020204" pitchFamily="34" charset="0"/>
          <a:cs typeface="Arial" panose="020B0604020202020204" pitchFamily="34"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a:latin typeface="Arial" panose="020B0604020202020204" pitchFamily="34" charset="0"/>
                <a:cs typeface="Arial" panose="020B0604020202020204" pitchFamily="34" charset="0"/>
              </a:rPr>
              <a:t>Рост</a:t>
            </a:r>
            <a:r>
              <a:rPr lang="en-US" sz="1200">
                <a:latin typeface="Arial" panose="020B0604020202020204" pitchFamily="34" charset="0"/>
                <a:cs typeface="Arial" panose="020B0604020202020204" pitchFamily="34" charset="0"/>
              </a:rPr>
              <a:t>/</a:t>
            </a:r>
            <a:r>
              <a:rPr lang="ru-RU" sz="1200">
                <a:latin typeface="Arial" panose="020B0604020202020204" pitchFamily="34" charset="0"/>
                <a:cs typeface="Arial" panose="020B0604020202020204" pitchFamily="34" charset="0"/>
              </a:rPr>
              <a:t>падение</a:t>
            </a:r>
            <a:r>
              <a:rPr lang="ru-RU" sz="1200" baseline="0">
                <a:latin typeface="Arial" panose="020B0604020202020204" pitchFamily="34" charset="0"/>
                <a:cs typeface="Arial" panose="020B0604020202020204" pitchFamily="34" charset="0"/>
              </a:rPr>
              <a:t> коэфициента Джини </a:t>
            </a:r>
          </a:p>
          <a:p>
            <a:pPr>
              <a:defRPr sz="12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sz="1200" baseline="0">
                <a:latin typeface="Arial" panose="020B0604020202020204" pitchFamily="34" charset="0"/>
                <a:cs typeface="Arial" panose="020B0604020202020204" pitchFamily="34" charset="0"/>
              </a:rPr>
              <a:t>в 2015 году по сравнению с 2013 годом</a:t>
            </a:r>
            <a:endParaRPr lang="ru-RU" sz="1200">
              <a:latin typeface="Arial" panose="020B0604020202020204" pitchFamily="34" charset="0"/>
              <a:cs typeface="Arial" panose="020B0604020202020204" pitchFamily="34" charset="0"/>
            </a:endParaRPr>
          </a:p>
        </c:rich>
      </c:tx>
      <c:layout>
        <c:manualLayout>
          <c:xMode val="edge"/>
          <c:yMode val="edge"/>
          <c:x val="0.3331219638904091"/>
          <c:y val="3.9844182373130962E-2"/>
        </c:manualLayout>
      </c:layout>
      <c:spPr>
        <a:noFill/>
        <a:ln w="25400">
          <a:noFill/>
        </a:ln>
      </c:spPr>
    </c:title>
    <c:plotArea>
      <c:layout>
        <c:manualLayout>
          <c:layoutTarget val="inner"/>
          <c:xMode val="edge"/>
          <c:yMode val="edge"/>
          <c:x val="0.10247008896615217"/>
          <c:y val="1.3982723990487155E-2"/>
          <c:w val="0.84506685591339714"/>
          <c:h val="0.58575678040244805"/>
        </c:manualLayout>
      </c:layout>
      <c:barChart>
        <c:barDir val="col"/>
        <c:grouping val="clustered"/>
        <c:ser>
          <c:idx val="0"/>
          <c:order val="0"/>
          <c:spPr>
            <a:solidFill>
              <a:srgbClr val="660033"/>
            </a:solidFill>
            <a:ln w="25400">
              <a:solidFill>
                <a:schemeClr val="tx1">
                  <a:lumMod val="15000"/>
                  <a:lumOff val="85000"/>
                </a:schemeClr>
              </a:solidFill>
            </a:ln>
          </c:spPr>
          <c:dLbls>
            <c:spPr>
              <a:noFill/>
              <a:ln>
                <a:noFill/>
              </a:ln>
              <a:effectLst/>
            </c:spPr>
            <c:txPr>
              <a:bodyPr wrap="square" lIns="38100" tIns="19050" rIns="38100" bIns="19050" anchor="ctr">
                <a:spAutoFit/>
              </a:bodyPr>
              <a:lstStyle/>
              <a:p>
                <a:pPr>
                  <a:defRPr sz="600">
                    <a:latin typeface="Arial" panose="020B0604020202020204" pitchFamily="34" charset="0"/>
                    <a:cs typeface="Arial" panose="020B0604020202020204" pitchFamily="34" charset="0"/>
                  </a:defRPr>
                </a:pPr>
                <a:endParaRPr lang="ru-RU"/>
              </a:p>
            </c:txPr>
            <c:showVal val="1"/>
            <c:extLst>
              <c:ext xmlns:c15="http://schemas.microsoft.com/office/drawing/2012/chart" uri="{CE6537A1-D6FC-4f65-9D91-7224C49458BB}">
                <c15:showLeaderLines val="1"/>
              </c:ext>
            </c:extLst>
          </c:dLbls>
          <c:cat>
            <c:strRef>
              <c:f>Лист1!$P$33:$P$49</c:f>
              <c:strCache>
                <c:ptCount val="17"/>
                <c:pt idx="0">
                  <c:v>Рыболовство, рыбоводство</c:v>
                </c:pt>
                <c:pt idx="1">
                  <c:v>Гостиницы и рестораны</c:v>
                </c:pt>
                <c:pt idx="2">
                  <c:v>Строительство</c:v>
                </c:pt>
                <c:pt idx="3">
                  <c:v>Финансовая деятельность</c:v>
                </c:pt>
                <c:pt idx="4">
                  <c:v>Транспорт и связь</c:v>
                </c:pt>
                <c:pt idx="5">
                  <c:v>Государственное управление, обязательное социальное обеспечение, деятельность экстерриториальных организаций</c:v>
                </c:pt>
                <c:pt idx="6">
                  <c:v>Операции с недвижимым имуществом, аренда и предоставление услуг</c:v>
                </c:pt>
                <c:pt idx="7">
                  <c:v>Обрабатывающие производства</c:v>
                </c:pt>
                <c:pt idx="8">
                  <c:v>Добыча полезных ископаемых</c:v>
                </c:pt>
                <c:pt idx="9">
                  <c:v>Предоставление коммунальных, персональных и социальных услуг</c:v>
                </c:pt>
                <c:pt idx="10">
                  <c:v>Деятельность по организации отдыха, развлечений, культуры и спорта</c:v>
                </c:pt>
                <c:pt idx="11">
                  <c:v>Образование</c:v>
                </c:pt>
                <c:pt idx="12">
                  <c:v>Производство и распределение электроэнергии, газа и воды</c:v>
                </c:pt>
                <c:pt idx="13">
                  <c:v>Сельское хозяйство, охота и лесное хозяйство</c:v>
                </c:pt>
                <c:pt idx="14">
                  <c:v>Научные исследования и разработки</c:v>
                </c:pt>
                <c:pt idx="15">
                  <c:v>Оптовая и розничная торговля, ремонт автотранспортных средств и мотоциклов</c:v>
                </c:pt>
                <c:pt idx="16">
                  <c:v>Здравоохранение и предоставление социальных услуг</c:v>
                </c:pt>
              </c:strCache>
            </c:strRef>
          </c:cat>
          <c:val>
            <c:numRef>
              <c:f>Лист1!$O$33:$O$49</c:f>
              <c:numCache>
                <c:formatCode>0.00</c:formatCode>
                <c:ptCount val="17"/>
                <c:pt idx="0">
                  <c:v>15.030333957884977</c:v>
                </c:pt>
                <c:pt idx="1">
                  <c:v>4.8232824871920883</c:v>
                </c:pt>
                <c:pt idx="2">
                  <c:v>3.6626203819605649</c:v>
                </c:pt>
                <c:pt idx="3">
                  <c:v>3.1404309361595888</c:v>
                </c:pt>
                <c:pt idx="4">
                  <c:v>1.9780709292493739</c:v>
                </c:pt>
                <c:pt idx="5">
                  <c:v>1.890602515906312</c:v>
                </c:pt>
                <c:pt idx="6">
                  <c:v>1.3129650482113107</c:v>
                </c:pt>
                <c:pt idx="7">
                  <c:v>0.80009335167382423</c:v>
                </c:pt>
                <c:pt idx="8">
                  <c:v>0.13082858852747881</c:v>
                </c:pt>
                <c:pt idx="9">
                  <c:v>-0.39668379063616088</c:v>
                </c:pt>
                <c:pt idx="10">
                  <c:v>-0.48056783780924783</c:v>
                </c:pt>
                <c:pt idx="11">
                  <c:v>-0.73446146715791349</c:v>
                </c:pt>
                <c:pt idx="12">
                  <c:v>-1.090543647197475</c:v>
                </c:pt>
                <c:pt idx="13">
                  <c:v>-1.8496899239198121</c:v>
                </c:pt>
                <c:pt idx="14">
                  <c:v>-2.1581346834471358</c:v>
                </c:pt>
                <c:pt idx="15">
                  <c:v>-2.2732060872367015</c:v>
                </c:pt>
                <c:pt idx="16">
                  <c:v>-3.4749320860704955</c:v>
                </c:pt>
              </c:numCache>
            </c:numRef>
          </c:val>
        </c:ser>
        <c:gapWidth val="67"/>
        <c:overlap val="-27"/>
        <c:axId val="135025408"/>
        <c:axId val="135026944"/>
      </c:barChart>
      <c:catAx>
        <c:axId val="1350254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135026944"/>
        <c:crosses val="autoZero"/>
        <c:auto val="1"/>
        <c:lblAlgn val="ctr"/>
        <c:lblOffset val="100"/>
      </c:catAx>
      <c:valAx>
        <c:axId val="135026944"/>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ln w="9525">
            <a:noFill/>
          </a:ln>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crossAx val="135025408"/>
        <c:crosses val="autoZero"/>
        <c:crossBetween val="between"/>
      </c:valAx>
      <c:spPr>
        <a:noFill/>
        <a:ln w="25400">
          <a:noFill/>
        </a:ln>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drawings/drawing1.xml><?xml version="1.0" encoding="utf-8"?>
<c:userShapes xmlns:c="http://schemas.openxmlformats.org/drawingml/2006/chart">
  <cdr:relSizeAnchor xmlns:cdr="http://schemas.openxmlformats.org/drawingml/2006/chartDrawing">
    <cdr:from>
      <cdr:x>0.11423</cdr:x>
      <cdr:y>0.20775</cdr:y>
    </cdr:from>
    <cdr:to>
      <cdr:x>0.91984</cdr:x>
      <cdr:y>0.85915</cdr:y>
    </cdr:to>
    <cdr:sp macro="" textlink="">
      <cdr:nvSpPr>
        <cdr:cNvPr id="5" name="Прямоугольный треугольник 4"/>
        <cdr:cNvSpPr/>
      </cdr:nvSpPr>
      <cdr:spPr>
        <a:xfrm xmlns:a="http://schemas.openxmlformats.org/drawingml/2006/main" flipH="1">
          <a:off x="454794" y="795472"/>
          <a:ext cx="3207498" cy="2494275"/>
        </a:xfrm>
        <a:prstGeom xmlns:a="http://schemas.openxmlformats.org/drawingml/2006/main" prst="rtTriangle">
          <a:avLst/>
        </a:prstGeom>
        <a:solidFill xmlns:a="http://schemas.openxmlformats.org/drawingml/2006/main">
          <a:srgbClr val="660033"/>
        </a:solidFill>
        <a:ln xmlns:a="http://schemas.openxmlformats.org/drawingml/2006/main">
          <a:solidFill>
            <a:srgbClr val="66003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341</TotalTime>
  <Pages>10</Pages>
  <Words>2077</Words>
  <Characters>11841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manager1</dc:creator>
  <cp:lastModifiedBy>bazhukova</cp:lastModifiedBy>
  <cp:revision>22</cp:revision>
  <dcterms:created xsi:type="dcterms:W3CDTF">2015-11-30T10:51:00Z</dcterms:created>
  <dcterms:modified xsi:type="dcterms:W3CDTF">2015-12-10T10:32:00Z</dcterms:modified>
</cp:coreProperties>
</file>